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1534" w:type="dxa"/>
        <w:jc w:val="start"/>
        <w:tblInd w:w="0" w:type="dxa"/>
        <w:tblLayout w:type="fixed"/>
        <w:tblCellMar>
          <w:top w:w="0" w:type="dxa"/>
          <w:start w:w="108" w:type="dxa"/>
          <w:bottom w:w="0" w:type="dxa"/>
          <w:end w:w="108" w:type="dxa"/>
        </w:tblCellMar>
        <w:tblLook w:val="0000" w:noVBand="0" w:noHBand="0" w:lastColumn="0" w:firstColumn="0" w:lastRow="0" w:firstRow="0"/>
      </w:tblPr>
      <w:tblGrid>
        <w:gridCol w:w="446"/>
        <w:gridCol w:w="22"/>
        <w:gridCol w:w="6570"/>
        <w:gridCol w:w="91"/>
        <w:gridCol w:w="2520"/>
        <w:gridCol w:w="1884"/>
      </w:tblGrid>
      <w:tr>
        <w:trPr>
          <w:cantSplit w:val="true"/>
        </w:trPr>
        <w:tc>
          <w:tcPr>
            <w:tcW w:w="9649" w:type="dxa"/>
            <w:gridSpan w:val="5"/>
            <w:tcBorders>
              <w:bottom w:val="single" w:sz="4" w:space="0" w:color="999999"/>
            </w:tcBorders>
          </w:tcPr>
          <w:p>
            <w:pPr>
              <w:pStyle w:val="Heading1"/>
              <w:widowControl w:val="false"/>
              <w:spacing w:before="80" w:after="60"/>
              <w:jc w:val="center"/>
              <w:rPr>
                <w:color w:val="333399"/>
              </w:rPr>
            </w:pPr>
            <w:r>
              <w:rPr>
                <w:color w:val="333399"/>
              </w:rPr>
              <w:t>Curriculum Vitae</w:t>
            </w:r>
          </w:p>
        </w:tc>
        <w:tc>
          <w:tcPr>
            <w:tcW w:w="1884" w:type="dxa"/>
            <w:tcBorders/>
          </w:tcPr>
          <w:p>
            <w:pPr>
              <w:pStyle w:val="Normal"/>
              <w:widowControl w:val="false"/>
              <w:spacing w:before="0" w:after="200"/>
              <w:rPr/>
            </w:pPr>
            <w:r>
              <w:rPr/>
            </w:r>
          </w:p>
        </w:tc>
      </w:tr>
      <w:tr>
        <w:trPr>
          <w:cantSplit w:val="true"/>
        </w:trPr>
        <w:tc>
          <w:tcPr>
            <w:tcW w:w="9649" w:type="dxa"/>
            <w:gridSpan w:val="5"/>
            <w:tcBorders>
              <w:top w:val="single" w:sz="4" w:space="0" w:color="999999"/>
              <w:bottom w:val="single" w:sz="4" w:space="0" w:color="999999"/>
            </w:tcBorders>
          </w:tcPr>
          <w:p>
            <w:pPr>
              <w:pStyle w:val="Normal"/>
              <w:widowControl w:val="false"/>
              <w:jc w:val="center"/>
              <w:rPr>
                <w:sz w:val="22"/>
                <w:lang w:val="it-IT"/>
              </w:rPr>
            </w:pPr>
            <w:r>
              <w:rPr>
                <w:sz w:val="22"/>
                <w:lang w:val="it-IT"/>
              </w:rPr>
              <w:t>Otute Akiti</w:t>
            </w:r>
          </w:p>
          <w:p>
            <w:pPr>
              <w:pStyle w:val="Normal"/>
              <w:widowControl w:val="false"/>
              <w:jc w:val="center"/>
              <w:rPr/>
            </w:pPr>
            <w:r>
              <w:rPr/>
              <w:t>+1 (415) 987 2939</w:t>
            </w:r>
          </w:p>
          <w:p>
            <w:pPr>
              <w:pStyle w:val="Normal"/>
              <w:widowControl w:val="false"/>
              <w:spacing w:before="0" w:after="200"/>
              <w:jc w:val="center"/>
              <w:rPr>
                <w:rFonts w:ascii="Calibri" w:hAnsi="Calibri" w:asciiTheme="majorHAnsi" w:hAnsiTheme="majorHAnsi"/>
              </w:rPr>
            </w:pPr>
            <w:r>
              <w:rPr/>
              <w:t>otute.akiti@gmail.com</w:t>
            </w:r>
          </w:p>
        </w:tc>
        <w:tc>
          <w:tcPr>
            <w:tcW w:w="1884" w:type="dxa"/>
            <w:tcBorders/>
          </w:tcPr>
          <w:p>
            <w:pPr>
              <w:pStyle w:val="Normal"/>
              <w:widowControl w:val="false"/>
              <w:spacing w:before="0" w:after="200"/>
              <w:rPr/>
            </w:pPr>
            <w:r>
              <w:rPr/>
            </w:r>
          </w:p>
        </w:tc>
      </w:tr>
      <w:tr>
        <w:trPr>
          <w:trHeight w:val="153"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000080"/>
              </w:rPr>
            </w:pPr>
            <w:r>
              <w:rPr>
                <w:color w:val="000080"/>
              </w:rPr>
              <w:t>Executive summary</w:t>
            </w:r>
          </w:p>
        </w:tc>
        <w:tc>
          <w:tcPr>
            <w:tcW w:w="1884" w:type="dxa"/>
            <w:tcBorders/>
          </w:tcPr>
          <w:p>
            <w:pPr>
              <w:pStyle w:val="Normal"/>
              <w:widowControl w:val="false"/>
              <w:spacing w:before="0" w:after="200"/>
              <w:rPr/>
            </w:pPr>
            <w:r>
              <w:rPr/>
            </w:r>
          </w:p>
        </w:tc>
      </w:tr>
      <w:tr>
        <w:trPr>
          <w:trHeight w:val="9830" w:hRule="atLeast"/>
        </w:trPr>
        <w:tc>
          <w:tcPr>
            <w:tcW w:w="446" w:type="dxa"/>
            <w:tcBorders>
              <w:top w:val="single" w:sz="4" w:space="0" w:color="999999"/>
              <w:bottom w:val="single" w:sz="4" w:space="0" w:color="999999"/>
            </w:tcBorders>
            <w:shd w:color="auto" w:fill="auto" w:val="clear"/>
          </w:tcPr>
          <w:p>
            <w:pPr>
              <w:pStyle w:val="Normal"/>
              <w:widowControl w:val="false"/>
              <w:spacing w:before="0" w:after="200"/>
              <w:rPr/>
            </w:pPr>
            <w:r>
              <w:rPr/>
            </w:r>
          </w:p>
        </w:tc>
        <w:tc>
          <w:tcPr>
            <w:tcW w:w="9203" w:type="dxa"/>
            <w:gridSpan w:val="4"/>
            <w:tcBorders>
              <w:top w:val="single" w:sz="4" w:space="0" w:color="999999"/>
              <w:bottom w:val="single" w:sz="4" w:space="0" w:color="999999"/>
            </w:tcBorders>
          </w:tcPr>
          <w:p>
            <w:pPr>
              <w:pStyle w:val="bulletedlist"/>
              <w:widowControl w:val="false"/>
              <w:numPr>
                <w:ilvl w:val="0"/>
                <w:numId w:val="2"/>
              </w:numPr>
              <w:spacing w:before="60" w:after="200"/>
              <w:rPr>
                <w:rFonts w:eastAsia="Arial" w:cs="Arial"/>
              </w:rPr>
            </w:pPr>
            <w:r>
              <w:rPr>
                <w:rFonts w:eastAsia="Arial" w:cs="Arial"/>
              </w:rPr>
              <w:t xml:space="preserve">Accomplished pharmaceutical </w:t>
            </w:r>
            <w:r>
              <w:rPr>
                <w:rFonts w:eastAsia="Arial" w:cs="Arial"/>
              </w:rPr>
              <w:t xml:space="preserve">CMC and </w:t>
            </w:r>
            <w:r>
              <w:rPr>
                <w:rFonts w:eastAsia="Arial" w:cs="Arial"/>
              </w:rPr>
              <w:t xml:space="preserve">Technical Operations executive with board level experience and a proven track record of </w:t>
            </w:r>
            <w:r>
              <w:rPr>
                <w:rFonts w:eastAsia="Arial" w:cs="Arial"/>
              </w:rPr>
              <w:t xml:space="preserve">small molecule </w:t>
            </w:r>
            <w:r>
              <w:rPr>
                <w:rFonts w:eastAsia="Arial" w:cs="Arial"/>
              </w:rPr>
              <w:t xml:space="preserve">drug development  </w:t>
            </w:r>
            <w:r>
              <w:rPr>
                <w:rFonts w:eastAsia="Arial" w:cs="Arial"/>
              </w:rPr>
              <w:t>from inception to regulatory approval and commercializat</w:t>
            </w:r>
            <w:r>
              <w:rPr>
                <w:rFonts w:eastAsia="Arial" w:cs="Arial"/>
              </w:rPr>
              <w:t>i</w:t>
            </w:r>
            <w:r>
              <w:rPr>
                <w:rFonts w:eastAsia="Arial" w:cs="Arial"/>
              </w:rPr>
              <w:t>on.</w:t>
            </w:r>
          </w:p>
          <w:p>
            <w:pPr>
              <w:pStyle w:val="bulletedlist"/>
              <w:widowControl w:val="false"/>
              <w:numPr>
                <w:ilvl w:val="0"/>
                <w:numId w:val="2"/>
              </w:numPr>
              <w:spacing w:before="60" w:after="200"/>
              <w:rPr>
                <w:rFonts w:eastAsia="Arial" w:cs="Arial"/>
              </w:rPr>
            </w:pPr>
            <w:r>
              <w:rPr/>
              <w:t>Adept at overseeing complex projects from conception to execution, optimizing processes, and ensuring seamless cross-functional collaboration.</w:t>
            </w:r>
          </w:p>
          <w:p>
            <w:pPr>
              <w:pStyle w:val="bulletedlist"/>
              <w:widowControl w:val="false"/>
              <w:numPr>
                <w:ilvl w:val="0"/>
                <w:numId w:val="2"/>
              </w:numPr>
              <w:spacing w:before="60" w:after="200"/>
              <w:rPr>
                <w:rFonts w:eastAsia="Arial" w:cs="Arial"/>
              </w:rPr>
            </w:pPr>
            <w:r>
              <w:rPr/>
              <w:t>Proven track record of implementing innovative solutions, enhancing efficiency, and achieving cost savings.</w:t>
            </w:r>
          </w:p>
          <w:p>
            <w:pPr>
              <w:pStyle w:val="bulletedlist"/>
              <w:widowControl w:val="false"/>
              <w:numPr>
                <w:ilvl w:val="0"/>
                <w:numId w:val="2"/>
              </w:numPr>
              <w:spacing w:before="60" w:after="200"/>
              <w:rPr>
                <w:rFonts w:eastAsia="Arial" w:cs="Arial"/>
              </w:rPr>
            </w:pPr>
            <w:r>
              <w:rPr>
                <w:rFonts w:eastAsia="Arial" w:cs="Arial"/>
              </w:rPr>
              <w:t xml:space="preserve">Globally recognized for expertise and deep understanding of </w:t>
            </w:r>
            <w:r>
              <w:rPr>
                <w:rFonts w:eastAsia="Arial" w:cs="Arial"/>
              </w:rPr>
              <w:t xml:space="preserve">small molecule Process Development and Manufacturing, </w:t>
            </w:r>
            <w:r>
              <w:rPr>
                <w:rFonts w:eastAsia="Arial" w:cs="Arial"/>
              </w:rPr>
              <w:t>Quality, Regulatory, Supply Chain Operations, and Strategic Sourcing.</w:t>
            </w:r>
          </w:p>
          <w:p>
            <w:pPr>
              <w:pStyle w:val="bulletedlist"/>
              <w:widowControl w:val="false"/>
              <w:numPr>
                <w:ilvl w:val="0"/>
                <w:numId w:val="2"/>
              </w:numPr>
              <w:rPr>
                <w:rFonts w:eastAsia="Arial" w:cs="Arial"/>
              </w:rPr>
            </w:pPr>
            <w:r>
              <w:rPr>
                <w:rFonts w:eastAsia="Arial" w:cs="Arial"/>
              </w:rPr>
              <w:t>Experienced leading regulatory filings, IND, NDA, MAA. Subject matter expert, experienced with FDA audits including PAI audits.</w:t>
            </w:r>
          </w:p>
          <w:p>
            <w:pPr>
              <w:pStyle w:val="bulletedlist"/>
              <w:widowControl w:val="false"/>
              <w:numPr>
                <w:ilvl w:val="0"/>
                <w:numId w:val="2"/>
              </w:numPr>
              <w:spacing w:before="60" w:after="200"/>
              <w:rPr>
                <w:rFonts w:eastAsia="Arial" w:cs="Arial"/>
              </w:rPr>
            </w:pPr>
            <w:r>
              <w:rPr/>
              <w:t>Established leader with a highly professional attitude, high reliability, and high regard for fellow personnel, and committed to empowering, developing and retaining talent.</w:t>
            </w:r>
          </w:p>
          <w:p>
            <w:pPr>
              <w:pStyle w:val="bulletedlist"/>
              <w:widowControl w:val="false"/>
              <w:numPr>
                <w:ilvl w:val="0"/>
                <w:numId w:val="2"/>
              </w:numPr>
              <w:spacing w:before="60" w:after="200"/>
              <w:rPr>
                <w:rFonts w:eastAsia="Arial" w:cs="Arial"/>
              </w:rPr>
            </w:pPr>
            <w:r>
              <w:rPr>
                <w:rFonts w:eastAsia="Arial" w:cs="Arial"/>
              </w:rPr>
              <w:t>Demonstrated success in leadership roles within high-growth companies</w:t>
            </w:r>
            <w:r>
              <w:rPr>
                <w:rFonts w:eastAsia="Arial" w:cs="Arial"/>
              </w:rPr>
              <w:t>.</w:t>
            </w:r>
          </w:p>
          <w:p>
            <w:pPr>
              <w:pStyle w:val="bulletedlist"/>
              <w:widowControl w:val="false"/>
              <w:numPr>
                <w:ilvl w:val="0"/>
                <w:numId w:val="0"/>
              </w:numPr>
              <w:spacing w:before="60" w:after="200"/>
              <w:ind w:hanging="0" w:start="288"/>
              <w:rPr>
                <w:rFonts w:eastAsia="Arial" w:cs="Arial"/>
              </w:rPr>
            </w:pPr>
            <w:r>
              <w:rPr>
                <w:rFonts w:eastAsia="Arial" w:cs="Arial"/>
              </w:rPr>
            </w:r>
          </w:p>
          <w:p>
            <w:pPr>
              <w:pStyle w:val="bulletedlist"/>
              <w:widowControl w:val="false"/>
              <w:numPr>
                <w:ilvl w:val="0"/>
                <w:numId w:val="0"/>
              </w:numPr>
              <w:spacing w:before="60" w:after="200"/>
              <w:ind w:hanging="0" w:start="0"/>
              <w:rPr>
                <w:rFonts w:eastAsia="Arial" w:cs="Arial"/>
              </w:rPr>
            </w:pPr>
            <w:r>
              <w:rPr>
                <w:rFonts w:eastAsia="Arial" w:cs="Arial"/>
              </w:rPr>
            </w:r>
          </w:p>
        </w:tc>
        <w:tc>
          <w:tcPr>
            <w:tcW w:w="1884" w:type="dxa"/>
            <w:tcBorders/>
          </w:tcPr>
          <w:p>
            <w:pPr>
              <w:pStyle w:val="Normal"/>
              <w:widowControl w:val="false"/>
              <w:spacing w:before="0" w:after="200"/>
              <w:rPr/>
            </w:pPr>
            <w:r>
              <w:rPr/>
            </w:r>
          </w:p>
        </w:tc>
      </w:tr>
      <w:tr>
        <w:trPr>
          <w:trHeight w:val="255"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000080"/>
              </w:rPr>
            </w:pPr>
            <w:r>
              <w:rPr>
                <w:color w:val="000080"/>
              </w:rPr>
              <w:t>WORK Experience</w:t>
            </w:r>
          </w:p>
        </w:tc>
        <w:tc>
          <w:tcPr>
            <w:tcW w:w="1884" w:type="dxa"/>
            <w:tcBorders/>
          </w:tcPr>
          <w:p>
            <w:pPr>
              <w:pStyle w:val="Normal"/>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Heading1"/>
              <w:widowControl w:val="false"/>
              <w:spacing w:before="80" w:after="60"/>
              <w:rPr/>
            </w:pPr>
            <w:r>
              <w:rPr/>
              <w:t>Neumora Therapeutics</w:t>
            </w:r>
          </w:p>
        </w:tc>
        <w:tc>
          <w:tcPr>
            <w:tcW w:w="1884" w:type="dxa"/>
            <w:tcBorders/>
          </w:tcPr>
          <w:p>
            <w:pPr>
              <w:pStyle w:val="DatewnoSpaceBefore"/>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Title"/>
              <w:widowControl w:val="false"/>
              <w:numPr>
                <w:ilvl w:val="0"/>
                <w:numId w:val="0"/>
              </w:numPr>
              <w:ind w:hanging="0" w:start="0"/>
              <w:rPr/>
            </w:pPr>
            <w:r>
              <w:rPr/>
              <w:t xml:space="preserve">Vice President, Technical Operations </w:t>
              <w:tab/>
              <w:tab/>
              <w:tab/>
              <w:t xml:space="preserve">              </w:t>
              <w:tab/>
              <w:t>2020 – 2024</w:t>
            </w:r>
          </w:p>
          <w:p>
            <w:pPr>
              <w:pStyle w:val="Title"/>
              <w:widowControl w:val="false"/>
              <w:numPr>
                <w:ilvl w:val="0"/>
                <w:numId w:val="2"/>
              </w:numPr>
              <w:spacing w:before="0" w:after="200"/>
              <w:rPr>
                <w:b w:val="false"/>
                <w:bCs w:val="false"/>
              </w:rPr>
            </w:pPr>
            <w:r>
              <w:rPr>
                <w:b w:val="false"/>
                <w:bCs w:val="false"/>
              </w:rPr>
              <w:t>Expansion of role to cover more assets through the acquisition of BlackThorn by Neumora including the recruiting of talent for the expanded team.</w:t>
            </w:r>
          </w:p>
          <w:p>
            <w:pPr>
              <w:pStyle w:val="Title"/>
              <w:widowControl w:val="false"/>
              <w:numPr>
                <w:ilvl w:val="0"/>
                <w:numId w:val="2"/>
              </w:numPr>
              <w:spacing w:before="0" w:after="200"/>
              <w:rPr>
                <w:b w:val="false"/>
                <w:bCs w:val="false"/>
              </w:rPr>
            </w:pPr>
            <w:r>
              <w:rPr>
                <w:b w:val="false"/>
                <w:bCs w:val="false"/>
              </w:rPr>
              <w:t>Served on Executive team to help shape company strategy.</w:t>
            </w:r>
          </w:p>
          <w:p>
            <w:pPr>
              <w:pStyle w:val="Title"/>
              <w:widowControl w:val="false"/>
              <w:numPr>
                <w:ilvl w:val="0"/>
                <w:numId w:val="2"/>
              </w:numPr>
              <w:spacing w:before="0" w:after="200"/>
              <w:rPr>
                <w:b w:val="false"/>
                <w:bCs w:val="false"/>
              </w:rPr>
            </w:pPr>
            <w:r>
              <w:rPr>
                <w:b w:val="false"/>
                <w:bCs w:val="false"/>
              </w:rPr>
              <w:t>Led CMC team to support the successful completion of NMRA-140 Phase 2 studies and the initiation of the Phase 3 program, including completion of registration stability.</w:t>
            </w:r>
          </w:p>
          <w:p>
            <w:pPr>
              <w:pStyle w:val="Title"/>
              <w:widowControl w:val="false"/>
              <w:numPr>
                <w:ilvl w:val="0"/>
                <w:numId w:val="2"/>
              </w:numPr>
              <w:spacing w:before="0" w:after="200"/>
              <w:rPr>
                <w:b w:val="false"/>
                <w:bCs w:val="false"/>
              </w:rPr>
            </w:pPr>
            <w:r>
              <w:rPr>
                <w:b w:val="false"/>
                <w:bCs w:val="false"/>
              </w:rPr>
              <w:t>Established and agile and flexible supply chain network to support Neumora development programs.</w:t>
            </w:r>
          </w:p>
          <w:p>
            <w:pPr>
              <w:pStyle w:val="Title"/>
              <w:widowControl w:val="false"/>
              <w:numPr>
                <w:ilvl w:val="0"/>
                <w:numId w:val="2"/>
              </w:numPr>
              <w:spacing w:before="0" w:after="200"/>
              <w:rPr>
                <w:b w:val="false"/>
                <w:bCs w:val="false"/>
              </w:rPr>
            </w:pPr>
            <w:r>
              <w:rPr>
                <w:b w:val="false"/>
                <w:bCs w:val="false"/>
              </w:rPr>
              <w:t>Led CMC technical team to transition multiple pre-clinical assets to the IND stag</w:t>
            </w:r>
            <w:r>
              <w:rPr>
                <w:b w:val="false"/>
                <w:bCs w:val="false"/>
              </w:rPr>
              <w:t>e and support subsequent clinical studies from Phase 1 to Phase 2..</w:t>
            </w:r>
          </w:p>
        </w:tc>
        <w:tc>
          <w:tcPr>
            <w:tcW w:w="1884" w:type="dxa"/>
            <w:tcBorders/>
          </w:tcPr>
          <w:p>
            <w:pPr>
              <w:pStyle w:val="DatewnoSpaceBefore"/>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Heading1"/>
              <w:widowControl w:val="false"/>
              <w:spacing w:before="80" w:after="60"/>
              <w:rPr/>
            </w:pPr>
            <w:r>
              <w:rPr/>
              <w:t>BlackTHORN THERAPEUTICS</w:t>
            </w:r>
          </w:p>
        </w:tc>
        <w:tc>
          <w:tcPr>
            <w:tcW w:w="1884" w:type="dxa"/>
            <w:tcBorders/>
          </w:tcPr>
          <w:p>
            <w:pPr>
              <w:pStyle w:val="DatewnoSpaceBefore"/>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tcPr>
          <w:p>
            <w:pPr>
              <w:pStyle w:val="Title"/>
              <w:widowControl w:val="false"/>
              <w:numPr>
                <w:ilvl w:val="0"/>
                <w:numId w:val="0"/>
              </w:numPr>
              <w:ind w:hanging="0" w:start="0"/>
              <w:rPr/>
            </w:pPr>
            <w:r>
              <w:rPr/>
              <w:t xml:space="preserve">Vice President, Technical Operations </w:t>
              <w:tab/>
              <w:tab/>
              <w:tab/>
              <w:tab/>
              <w:t xml:space="preserve">                     2019 – 2020</w:t>
            </w:r>
          </w:p>
          <w:p>
            <w:pPr>
              <w:pStyle w:val="Title"/>
              <w:widowControl w:val="false"/>
              <w:numPr>
                <w:ilvl w:val="0"/>
                <w:numId w:val="0"/>
              </w:numPr>
              <w:spacing w:before="0" w:after="200"/>
              <w:ind w:hanging="0" w:start="0"/>
              <w:rPr/>
            </w:pPr>
            <w:r>
              <w:rPr/>
              <w:t>HEAD OF CMC</w:t>
              <w:tab/>
              <w:tab/>
              <w:tab/>
              <w:tab/>
              <w:tab/>
              <w:tab/>
              <w:tab/>
              <w:t xml:space="preserve">                     2018 – 2019</w:t>
            </w:r>
          </w:p>
        </w:tc>
        <w:tc>
          <w:tcPr>
            <w:tcW w:w="1884" w:type="dxa"/>
            <w:tcBorders/>
          </w:tcPr>
          <w:p>
            <w:pPr>
              <w:pStyle w:val="DatewnoSpaceBefore"/>
              <w:widowControl w:val="false"/>
              <w:spacing w:before="0" w:after="200"/>
              <w:jc w:val="start"/>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tcPr>
          <w:p>
            <w:pPr>
              <w:pStyle w:val="Title"/>
              <w:widowControl w:val="false"/>
              <w:numPr>
                <w:ilvl w:val="0"/>
                <w:numId w:val="0"/>
              </w:numPr>
              <w:spacing w:before="0" w:after="200"/>
              <w:ind w:hanging="0" w:start="0"/>
              <w:rPr>
                <w:color w:val="333399"/>
              </w:rPr>
            </w:pPr>
            <w:r>
              <w:rPr>
                <w:color w:val="333399"/>
              </w:rPr>
              <w:t>Summary BlackThorn Experience</w:t>
            </w:r>
          </w:p>
        </w:tc>
        <w:tc>
          <w:tcPr>
            <w:tcW w:w="1884" w:type="dxa"/>
            <w:tcBorders/>
          </w:tcPr>
          <w:p>
            <w:pPr>
              <w:pStyle w:val="Normal"/>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Normal"/>
              <w:widowControl w:val="false"/>
              <w:spacing w:before="0" w:after="200"/>
              <w:ind w:hanging="0" w:start="720"/>
              <w:rPr>
                <w:rFonts w:eastAsia="Arial"/>
              </w:rPr>
            </w:pPr>
            <w:r>
              <w:rPr>
                <w:rFonts w:eastAsia="Arial"/>
              </w:rPr>
              <w:t xml:space="preserve">Led activities related to </w:t>
            </w:r>
            <w:r>
              <w:rPr>
                <w:rFonts w:eastAsia="Arial"/>
              </w:rPr>
              <w:t xml:space="preserve">small molecule </w:t>
            </w:r>
            <w:r>
              <w:rPr>
                <w:rFonts w:eastAsia="Arial"/>
              </w:rPr>
              <w:t xml:space="preserve">drug substance and </w:t>
            </w:r>
            <w:r>
              <w:rPr>
                <w:rFonts w:eastAsia="Arial"/>
              </w:rPr>
              <w:t xml:space="preserve">solid oral </w:t>
            </w:r>
            <w:r>
              <w:rPr>
                <w:rFonts w:eastAsia="Arial"/>
              </w:rPr>
              <w:t xml:space="preserve">drug product  process development, including process optimization, cGMP manufacture of Drug Substance (DS) and Drug Product (DP), </w:t>
            </w:r>
            <w:r>
              <w:rPr>
                <w:rFonts w:eastAsia="Arial"/>
              </w:rPr>
              <w:t xml:space="preserve">Analytical Development and Quality Control, </w:t>
            </w:r>
            <w:r>
              <w:rPr>
                <w:rFonts w:eastAsia="Arial"/>
              </w:rPr>
              <w:t xml:space="preserve">regulatory filings </w:t>
            </w:r>
            <w:r>
              <w:rPr>
                <w:rFonts w:eastAsia="Arial"/>
              </w:rPr>
              <w:t>(multiple INDs)</w:t>
            </w:r>
            <w:r>
              <w:rPr>
                <w:rFonts w:eastAsia="Arial"/>
              </w:rPr>
              <w:t xml:space="preserve">, strategic sourcing and supply chain management, in support of new and ongoing BlackThorn </w:t>
            </w:r>
            <w:r>
              <w:rPr>
                <w:rFonts w:eastAsia="Arial"/>
              </w:rPr>
              <w:t xml:space="preserve">neuroscience small molecule </w:t>
            </w:r>
            <w:r>
              <w:rPr>
                <w:rFonts w:eastAsia="Arial"/>
              </w:rPr>
              <w:t>clinical programs.</w:t>
            </w:r>
          </w:p>
          <w:p>
            <w:pPr>
              <w:pStyle w:val="Normal"/>
              <w:widowControl w:val="false"/>
              <w:spacing w:before="0" w:after="200"/>
              <w:ind w:hanging="0" w:start="720"/>
              <w:rPr>
                <w:rFonts w:eastAsia="Arial"/>
              </w:rPr>
            </w:pPr>
            <w:r>
              <w:rPr>
                <w:rFonts w:eastAsia="Arial"/>
              </w:rPr>
              <w:t>Responsible for BlackThorn CMC strategy, project plans, budgets, schedules, and timelines to ensure successful project completion.</w:t>
            </w:r>
          </w:p>
        </w:tc>
        <w:tc>
          <w:tcPr>
            <w:tcW w:w="1884" w:type="dxa"/>
            <w:tcBorders/>
          </w:tcPr>
          <w:p>
            <w:pPr>
              <w:pStyle w:val="Normal"/>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Heading1"/>
              <w:widowControl w:val="false"/>
              <w:spacing w:before="80" w:after="60"/>
              <w:rPr/>
            </w:pPr>
            <w:r>
              <w:rPr/>
              <w:t>Relypsa Inc, a Vifor Pharma Company</w:t>
            </w:r>
          </w:p>
        </w:tc>
        <w:tc>
          <w:tcPr>
            <w:tcW w:w="1884" w:type="dxa"/>
            <w:tcBorders/>
          </w:tcPr>
          <w:p>
            <w:pPr>
              <w:pStyle w:val="DatewnoSpaceBefore"/>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tcPr>
          <w:p>
            <w:pPr>
              <w:pStyle w:val="Title"/>
              <w:widowControl w:val="false"/>
              <w:numPr>
                <w:ilvl w:val="0"/>
                <w:numId w:val="2"/>
              </w:numPr>
              <w:spacing w:before="0" w:after="200"/>
              <w:rPr/>
            </w:pPr>
            <w:r>
              <w:rPr/>
              <w:t>Executive Director, Manufacturing and Process Development           2015 – 2018</w:t>
            </w:r>
          </w:p>
        </w:tc>
        <w:tc>
          <w:tcPr>
            <w:tcW w:w="1884" w:type="dxa"/>
            <w:tcBorders/>
          </w:tcPr>
          <w:p>
            <w:pPr>
              <w:pStyle w:val="DatewnoSpaceBefore"/>
              <w:widowControl w:val="false"/>
              <w:spacing w:before="0" w:after="200"/>
              <w:jc w:val="start"/>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tcPr>
          <w:p>
            <w:pPr>
              <w:pStyle w:val="Title"/>
              <w:widowControl w:val="false"/>
              <w:numPr>
                <w:ilvl w:val="0"/>
                <w:numId w:val="2"/>
              </w:numPr>
              <w:spacing w:before="0" w:after="200"/>
              <w:rPr/>
            </w:pPr>
            <w:r>
              <w:rPr/>
              <w:t>Senior Director, Manufacturing and Process Development                  2012 - 2015</w:t>
            </w:r>
          </w:p>
        </w:tc>
        <w:tc>
          <w:tcPr>
            <w:tcW w:w="1884" w:type="dxa"/>
            <w:tcBorders/>
          </w:tcPr>
          <w:p>
            <w:pPr>
              <w:pStyle w:val="DatewnoSpaceBefore"/>
              <w:widowControl w:val="false"/>
              <w:spacing w:before="0" w:after="200"/>
              <w:jc w:val="start"/>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tcPr>
          <w:p>
            <w:pPr>
              <w:pStyle w:val="Title"/>
              <w:widowControl w:val="false"/>
              <w:numPr>
                <w:ilvl w:val="0"/>
                <w:numId w:val="2"/>
              </w:numPr>
              <w:spacing w:before="0" w:after="200"/>
              <w:rPr>
                <w:color w:val="333399"/>
              </w:rPr>
            </w:pPr>
            <w:r>
              <w:rPr>
                <w:color w:val="333399"/>
              </w:rPr>
              <w:t>Summary of Relypsa Experience</w:t>
            </w:r>
          </w:p>
        </w:tc>
        <w:tc>
          <w:tcPr>
            <w:tcW w:w="1884" w:type="dxa"/>
            <w:tcBorders/>
          </w:tcPr>
          <w:p>
            <w:pPr>
              <w:pStyle w:val="Normal"/>
              <w:widowControl w:val="false"/>
              <w:spacing w:before="0" w:after="200"/>
              <w:rPr/>
            </w:pPr>
            <w:r>
              <w:rPr/>
            </w:r>
          </w:p>
        </w:tc>
      </w:tr>
      <w:tr>
        <w:trPr>
          <w:trHeight w:val="188" w:hRule="atLeast"/>
        </w:trPr>
        <w:tc>
          <w:tcPr>
            <w:tcW w:w="468" w:type="dxa"/>
            <w:gridSpan w:val="2"/>
            <w:tcBorders/>
          </w:tcPr>
          <w:p>
            <w:pPr>
              <w:pStyle w:val="Normal"/>
              <w:widowControl w:val="false"/>
              <w:spacing w:before="0" w:after="200"/>
              <w:rPr/>
            </w:pPr>
            <w:r>
              <w:rPr/>
            </w:r>
          </w:p>
        </w:tc>
        <w:tc>
          <w:tcPr>
            <w:tcW w:w="9181" w:type="dxa"/>
            <w:gridSpan w:val="3"/>
            <w:tcBorders>
              <w:bottom w:val="single" w:sz="4" w:space="0" w:color="999999"/>
            </w:tcBorders>
          </w:tcPr>
          <w:p>
            <w:pPr>
              <w:pStyle w:val="bulletedlist"/>
              <w:widowControl w:val="false"/>
              <w:numPr>
                <w:ilvl w:val="0"/>
                <w:numId w:val="2"/>
              </w:numPr>
              <w:tabs>
                <w:tab w:val="clear" w:pos="720"/>
                <w:tab w:val="left" w:pos="702" w:leader="none"/>
              </w:tabs>
              <w:spacing w:before="60" w:after="200"/>
              <w:ind w:hanging="288" w:start="702"/>
              <w:rPr>
                <w:rFonts w:eastAsia="Arial" w:cs="Arial"/>
              </w:rPr>
            </w:pPr>
            <w:r>
              <w:rPr>
                <w:rFonts w:eastAsia="Arial"/>
              </w:rPr>
              <w:t>Guided a large multi-disciplinary team through the Veltassa</w:t>
            </w:r>
            <w:r>
              <w:rPr>
                <w:rFonts w:eastAsia="Arial"/>
              </w:rPr>
              <w:t xml:space="preserve"> </w:t>
            </w:r>
            <w:r>
              <w:rPr>
                <w:rFonts w:eastAsia="Arial"/>
              </w:rPr>
              <w:t xml:space="preserve">development program and commercialization, including process validation, strategic sourcing, regulatory filing and approval </w:t>
            </w:r>
            <w:r>
              <w:rPr>
                <w:rFonts w:eastAsia="Arial"/>
              </w:rPr>
              <w:t>(NDA,MAA)</w:t>
            </w:r>
            <w:r>
              <w:rPr>
                <w:rFonts w:eastAsia="Arial"/>
              </w:rPr>
              <w:t xml:space="preserve"> in the US and EU, Canada, Australia, Israel and Switzerland.</w:t>
            </w:r>
          </w:p>
          <w:p>
            <w:pPr>
              <w:pStyle w:val="bulletedlist"/>
              <w:widowControl w:val="false"/>
              <w:numPr>
                <w:ilvl w:val="0"/>
                <w:numId w:val="2"/>
              </w:numPr>
              <w:tabs>
                <w:tab w:val="clear" w:pos="720"/>
                <w:tab w:val="left" w:pos="702" w:leader="none"/>
              </w:tabs>
              <w:spacing w:before="60" w:after="200"/>
              <w:ind w:hanging="288" w:start="702"/>
              <w:rPr>
                <w:rFonts w:eastAsia="Arial" w:cs="Arial"/>
              </w:rPr>
            </w:pPr>
            <w:r>
              <w:rPr>
                <w:rFonts w:eastAsia="Arial"/>
              </w:rPr>
              <w:t>Veltassa is a novel polymeric drug developed for the treatment of hyperkalemia.</w:t>
            </w:r>
          </w:p>
          <w:p>
            <w:pPr>
              <w:pStyle w:val="bulletedlist"/>
              <w:widowControl w:val="false"/>
              <w:numPr>
                <w:ilvl w:val="0"/>
                <w:numId w:val="2"/>
              </w:numPr>
              <w:tabs>
                <w:tab w:val="clear" w:pos="720"/>
                <w:tab w:val="left" w:pos="702" w:leader="none"/>
              </w:tabs>
              <w:ind w:hanging="288" w:start="702"/>
              <w:rPr>
                <w:rFonts w:eastAsia="Arial" w:cs="Arial"/>
              </w:rPr>
            </w:pPr>
            <w:r>
              <w:rPr>
                <w:rFonts w:eastAsia="Arial"/>
              </w:rPr>
              <w:t>Developed world wide supply chain to enable the sour</w:t>
            </w:r>
            <w:r>
              <w:rPr>
                <w:rFonts w:eastAsia="Arial"/>
              </w:rPr>
              <w:t>c</w:t>
            </w:r>
            <w:r>
              <w:rPr>
                <w:rFonts w:eastAsia="Arial"/>
              </w:rPr>
              <w:t>ing of key materials worldwide at multi metric ton scale</w:t>
            </w:r>
            <w:r>
              <w:rPr>
                <w:rFonts w:eastAsia="Arial" w:cs="Arial"/>
              </w:rPr>
              <w:t>.</w:t>
            </w:r>
          </w:p>
          <w:p>
            <w:pPr>
              <w:pStyle w:val="bulletedlist"/>
              <w:widowControl w:val="false"/>
              <w:numPr>
                <w:ilvl w:val="0"/>
                <w:numId w:val="2"/>
              </w:numPr>
              <w:tabs>
                <w:tab w:val="clear" w:pos="720"/>
                <w:tab w:val="left" w:pos="702" w:leader="none"/>
              </w:tabs>
              <w:spacing w:before="60" w:after="200"/>
              <w:ind w:hanging="288" w:start="702"/>
              <w:rPr>
                <w:rFonts w:eastAsia="Arial" w:cs="Arial"/>
              </w:rPr>
            </w:pPr>
            <w:r>
              <w:rPr>
                <w:rFonts w:eastAsia="Arial"/>
              </w:rPr>
              <w:t>Led activities to develop and implement a continuous manufacturing process to enhance manufacturing efficiency and lower cost of goods, including engineering and facility design, environmental issues, contract negotiations, as well as interactions with the FDA Emerging Technology (ETT) team.</w:t>
            </w:r>
          </w:p>
        </w:tc>
        <w:tc>
          <w:tcPr>
            <w:tcW w:w="1884" w:type="dxa"/>
            <w:tcBorders/>
          </w:tcPr>
          <w:p>
            <w:pPr>
              <w:pStyle w:val="Normal"/>
              <w:widowControl w:val="false"/>
              <w:spacing w:before="0" w:after="200"/>
              <w:rPr/>
            </w:pPr>
            <w:r>
              <w:rPr/>
            </w:r>
          </w:p>
        </w:tc>
      </w:tr>
      <w:tr>
        <w:trPr>
          <w:trHeight w:val="188" w:hRule="atLeast"/>
        </w:trPr>
        <w:tc>
          <w:tcPr>
            <w:tcW w:w="468" w:type="dxa"/>
            <w:gridSpan w:val="2"/>
            <w:vMerge w:val="restart"/>
            <w:tcBorders>
              <w:top w:val="single" w:sz="4" w:space="0" w:color="999999"/>
              <w:bottom w:val="single" w:sz="4" w:space="0" w:color="999999"/>
            </w:tcBorders>
          </w:tcPr>
          <w:p>
            <w:pPr>
              <w:pStyle w:val="Normal"/>
              <w:widowControl w:val="false"/>
              <w:spacing w:before="0" w:after="200"/>
              <w:rPr/>
            </w:pPr>
            <w:r>
              <w:rPr/>
            </w:r>
          </w:p>
        </w:tc>
        <w:tc>
          <w:tcPr>
            <w:tcW w:w="9181" w:type="dxa"/>
            <w:gridSpan w:val="3"/>
            <w:tcBorders>
              <w:top w:val="single" w:sz="4" w:space="0" w:color="999999"/>
              <w:bottom w:val="single" w:sz="4" w:space="0" w:color="999999"/>
            </w:tcBorders>
          </w:tcPr>
          <w:p>
            <w:pPr>
              <w:pStyle w:val="Heading1"/>
              <w:widowControl w:val="false"/>
              <w:spacing w:before="80" w:after="60"/>
              <w:rPr/>
            </w:pPr>
            <w:r>
              <w:rPr/>
              <w:t>Exelixis Inc</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570" w:type="dxa"/>
            <w:tcBorders/>
          </w:tcPr>
          <w:p>
            <w:pPr>
              <w:pStyle w:val="Title"/>
              <w:widowControl w:val="false"/>
              <w:numPr>
                <w:ilvl w:val="0"/>
                <w:numId w:val="2"/>
              </w:numPr>
              <w:spacing w:before="0" w:after="200"/>
              <w:rPr/>
            </w:pPr>
            <w:r>
              <w:rPr/>
              <w:t>Director, Process Engineering</w:t>
            </w:r>
          </w:p>
        </w:tc>
        <w:tc>
          <w:tcPr>
            <w:tcW w:w="2611" w:type="dxa"/>
            <w:gridSpan w:val="2"/>
            <w:tcBorders/>
          </w:tcPr>
          <w:p>
            <w:pPr>
              <w:pStyle w:val="DatewnoSpaceBefore"/>
              <w:widowControl w:val="false"/>
              <w:spacing w:before="0" w:after="200"/>
              <w:rPr/>
            </w:pPr>
            <w:r>
              <w:rPr/>
              <w:t>2010 - 2012</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570" w:type="dxa"/>
            <w:tcBorders/>
          </w:tcPr>
          <w:p>
            <w:pPr>
              <w:pStyle w:val="Title"/>
              <w:widowControl w:val="false"/>
              <w:numPr>
                <w:ilvl w:val="0"/>
                <w:numId w:val="2"/>
              </w:numPr>
              <w:spacing w:before="0" w:after="200"/>
              <w:rPr/>
            </w:pPr>
            <w:r>
              <w:rPr/>
              <w:t>Associate Director, Process Engineering</w:t>
            </w:r>
          </w:p>
        </w:tc>
        <w:tc>
          <w:tcPr>
            <w:tcW w:w="2611" w:type="dxa"/>
            <w:gridSpan w:val="2"/>
            <w:tcBorders/>
          </w:tcPr>
          <w:p>
            <w:pPr>
              <w:pStyle w:val="DatewnoSpaceBefore"/>
              <w:widowControl w:val="false"/>
              <w:spacing w:before="0" w:after="200"/>
              <w:rPr/>
            </w:pPr>
            <w:r>
              <w:rPr/>
              <w:t>2009 - 2010</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570" w:type="dxa"/>
            <w:tcBorders/>
          </w:tcPr>
          <w:p>
            <w:pPr>
              <w:pStyle w:val="Title"/>
              <w:widowControl w:val="false"/>
              <w:numPr>
                <w:ilvl w:val="0"/>
                <w:numId w:val="2"/>
              </w:numPr>
              <w:spacing w:before="0" w:after="200"/>
              <w:rPr/>
            </w:pPr>
            <w:r>
              <w:rPr/>
              <w:t>Senior Scientist I, Chemical Development</w:t>
            </w:r>
          </w:p>
        </w:tc>
        <w:tc>
          <w:tcPr>
            <w:tcW w:w="2611" w:type="dxa"/>
            <w:gridSpan w:val="2"/>
            <w:tcBorders/>
          </w:tcPr>
          <w:p>
            <w:pPr>
              <w:pStyle w:val="DatewnoSpaceBefore"/>
              <w:widowControl w:val="false"/>
              <w:spacing w:before="0" w:after="200"/>
              <w:jc w:val="center"/>
              <w:rPr/>
            </w:pPr>
            <w:r>
              <w:rPr/>
              <w:t xml:space="preserve">                   </w:t>
            </w:r>
            <w:r>
              <w:rPr/>
              <w:t>2007-2009</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9181" w:type="dxa"/>
            <w:gridSpan w:val="3"/>
            <w:tcBorders/>
          </w:tcPr>
          <w:p>
            <w:pPr>
              <w:pStyle w:val="Title"/>
              <w:widowControl w:val="false"/>
              <w:numPr>
                <w:ilvl w:val="0"/>
                <w:numId w:val="2"/>
              </w:numPr>
              <w:spacing w:before="0" w:after="200"/>
              <w:rPr>
                <w:color w:val="333399"/>
              </w:rPr>
            </w:pPr>
            <w:r>
              <w:rPr>
                <w:color w:val="333399"/>
              </w:rPr>
              <w:t>Summary of Exelixis Experience</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9181" w:type="dxa"/>
            <w:gridSpan w:val="3"/>
            <w:tcBorders/>
          </w:tcPr>
          <w:p>
            <w:pPr>
              <w:pStyle w:val="bulletedlist"/>
              <w:widowControl w:val="false"/>
              <w:numPr>
                <w:ilvl w:val="0"/>
                <w:numId w:val="2"/>
              </w:numPr>
              <w:tabs>
                <w:tab w:val="clear" w:pos="720"/>
                <w:tab w:val="left" w:pos="702" w:leader="none"/>
              </w:tabs>
              <w:spacing w:before="60" w:after="200"/>
              <w:ind w:hanging="288" w:start="702"/>
              <w:rPr>
                <w:rFonts w:eastAsia="Arial" w:cs="Arial"/>
              </w:rPr>
            </w:pPr>
            <w:r>
              <w:rPr>
                <w:rFonts w:eastAsia="Arial"/>
              </w:rPr>
              <w:t xml:space="preserve">Guided a multi-disciplinary team (Process Development, Analytical Development, Quality Control, Sourcing and Supply Chain) through from the initial lab development stages to successful process validation, </w:t>
            </w:r>
            <w:r>
              <w:rPr>
                <w:rFonts w:eastAsia="Arial"/>
              </w:rPr>
              <w:t xml:space="preserve">NDA </w:t>
            </w:r>
            <w:r>
              <w:rPr>
                <w:rFonts w:eastAsia="Arial"/>
              </w:rPr>
              <w:t>approval, and commercialization f</w:t>
            </w:r>
            <w:r>
              <w:rPr>
                <w:rFonts w:eastAsia="Arial"/>
              </w:rPr>
              <w:t xml:space="preserve">or the </w:t>
            </w:r>
            <w:r>
              <w:rPr>
                <w:rFonts w:eastAsia="Arial"/>
              </w:rPr>
              <w:t xml:space="preserve">cabozantinib (Cometriq) </w:t>
            </w:r>
            <w:r>
              <w:rPr>
                <w:rFonts w:eastAsia="Arial"/>
              </w:rPr>
              <w:t xml:space="preserve">small molecule </w:t>
            </w:r>
            <w:r>
              <w:rPr>
                <w:rFonts w:eastAsia="Arial"/>
              </w:rPr>
              <w:t>oncology franchise</w:t>
            </w:r>
            <w:r>
              <w:rPr>
                <w:rFonts w:eastAsia="Arial"/>
              </w:rPr>
              <w:t>.</w:t>
            </w:r>
          </w:p>
          <w:p>
            <w:pPr>
              <w:pStyle w:val="bulletedlist"/>
              <w:widowControl w:val="false"/>
              <w:numPr>
                <w:ilvl w:val="0"/>
                <w:numId w:val="2"/>
              </w:numPr>
              <w:tabs>
                <w:tab w:val="clear" w:pos="720"/>
                <w:tab w:val="left" w:pos="702" w:leader="none"/>
              </w:tabs>
              <w:ind w:hanging="288" w:start="702"/>
              <w:rPr>
                <w:rFonts w:eastAsia="Arial" w:cs="Arial"/>
              </w:rPr>
            </w:pPr>
            <w:r>
              <w:rPr>
                <w:rFonts w:eastAsia="Arial"/>
              </w:rPr>
              <w:t xml:space="preserve">Established the Process Engineering function at Exelixis, recruited talent and led/provided support for several </w:t>
            </w:r>
            <w:r>
              <w:rPr>
                <w:rFonts w:eastAsia="Arial"/>
              </w:rPr>
              <w:t xml:space="preserve">small molecule </w:t>
            </w:r>
            <w:r>
              <w:rPr>
                <w:rFonts w:eastAsia="Arial"/>
              </w:rPr>
              <w:t xml:space="preserve">development compounds in the Exelixis </w:t>
            </w:r>
            <w:r>
              <w:rPr>
                <w:rFonts w:eastAsia="Arial"/>
              </w:rPr>
              <w:t xml:space="preserve">oncology </w:t>
            </w:r>
            <w:r>
              <w:rPr>
                <w:rFonts w:eastAsia="Arial"/>
              </w:rPr>
              <w:t>pipeline.</w:t>
            </w:r>
          </w:p>
          <w:p>
            <w:pPr>
              <w:pStyle w:val="bulletedlist"/>
              <w:widowControl w:val="false"/>
              <w:numPr>
                <w:ilvl w:val="0"/>
                <w:numId w:val="2"/>
              </w:numPr>
              <w:tabs>
                <w:tab w:val="clear" w:pos="720"/>
                <w:tab w:val="left" w:pos="702" w:leader="none"/>
              </w:tabs>
              <w:spacing w:before="60" w:after="200"/>
              <w:ind w:hanging="288" w:start="702"/>
              <w:rPr>
                <w:rFonts w:eastAsia="Arial" w:cs="Arial"/>
              </w:rPr>
            </w:pPr>
            <w:r>
              <w:rPr>
                <w:rFonts w:eastAsia="Arial"/>
              </w:rPr>
              <w:t xml:space="preserve">Led the team through evaluation and outsourcing activities for </w:t>
            </w:r>
            <w:r>
              <w:rPr>
                <w:rFonts w:eastAsia="Arial"/>
              </w:rPr>
              <w:t xml:space="preserve">multiple </w:t>
            </w:r>
            <w:r>
              <w:rPr>
                <w:rFonts w:eastAsia="Arial"/>
              </w:rPr>
              <w:t xml:space="preserve">Exelixis </w:t>
            </w:r>
            <w:r>
              <w:rPr>
                <w:rFonts w:eastAsia="Arial"/>
              </w:rPr>
              <w:t xml:space="preserve">oncology </w:t>
            </w:r>
            <w:r>
              <w:rPr>
                <w:rFonts w:eastAsia="Arial"/>
              </w:rPr>
              <w:t>compounds including Cabozantinib.</w:t>
            </w:r>
          </w:p>
          <w:p>
            <w:pPr>
              <w:pStyle w:val="bulletedlist"/>
              <w:widowControl w:val="false"/>
              <w:numPr>
                <w:ilvl w:val="0"/>
                <w:numId w:val="0"/>
              </w:numPr>
              <w:tabs>
                <w:tab w:val="clear" w:pos="720"/>
                <w:tab w:val="left" w:pos="702" w:leader="none"/>
              </w:tabs>
              <w:spacing w:before="60" w:after="200"/>
              <w:ind w:hanging="288" w:start="702"/>
              <w:rPr>
                <w:rFonts w:eastAsia="Arial" w:cs="Arial"/>
              </w:rPr>
            </w:pPr>
            <w:r>
              <w:rPr/>
            </w:r>
          </w:p>
          <w:p>
            <w:pPr>
              <w:pStyle w:val="bulletedlist"/>
              <w:widowControl w:val="false"/>
              <w:numPr>
                <w:ilvl w:val="0"/>
                <w:numId w:val="0"/>
              </w:numPr>
              <w:tabs>
                <w:tab w:val="clear" w:pos="720"/>
                <w:tab w:val="left" w:pos="702" w:leader="none"/>
              </w:tabs>
              <w:spacing w:before="60" w:after="200"/>
              <w:ind w:hanging="288" w:start="702"/>
              <w:rPr>
                <w:rFonts w:eastAsia="Arial" w:cs="Arial"/>
              </w:rPr>
            </w:pPr>
            <w:r>
              <w:rPr/>
            </w:r>
          </w:p>
          <w:p>
            <w:pPr>
              <w:pStyle w:val="bulletedlist"/>
              <w:widowControl w:val="false"/>
              <w:numPr>
                <w:ilvl w:val="0"/>
                <w:numId w:val="0"/>
              </w:numPr>
              <w:tabs>
                <w:tab w:val="clear" w:pos="720"/>
                <w:tab w:val="left" w:pos="702" w:leader="none"/>
              </w:tabs>
              <w:spacing w:before="60" w:after="200"/>
              <w:ind w:hanging="288" w:start="702"/>
              <w:rPr>
                <w:rFonts w:eastAsia="Arial" w:cs="Arial"/>
              </w:rPr>
            </w:pPr>
            <w:r>
              <w:rPr/>
            </w:r>
          </w:p>
          <w:p>
            <w:pPr>
              <w:pStyle w:val="bulletedlist"/>
              <w:widowControl w:val="false"/>
              <w:numPr>
                <w:ilvl w:val="0"/>
                <w:numId w:val="0"/>
              </w:numPr>
              <w:tabs>
                <w:tab w:val="clear" w:pos="720"/>
                <w:tab w:val="left" w:pos="702" w:leader="none"/>
              </w:tabs>
              <w:spacing w:before="60" w:after="200"/>
              <w:ind w:hanging="288" w:start="702"/>
              <w:rPr>
                <w:rFonts w:eastAsia="Arial" w:cs="Arial"/>
              </w:rPr>
            </w:pPr>
            <w:r>
              <w:rPr/>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9181" w:type="dxa"/>
            <w:gridSpan w:val="3"/>
            <w:tcBorders>
              <w:bottom w:val="single" w:sz="4" w:space="0" w:color="999999"/>
            </w:tcBorders>
            <w:vAlign w:val="center"/>
          </w:tcPr>
          <w:p>
            <w:pPr>
              <w:pStyle w:val="Heading1"/>
              <w:widowControl w:val="false"/>
              <w:spacing w:before="80" w:after="60"/>
              <w:rPr/>
            </w:pPr>
            <w:r>
              <w:rPr/>
              <w:t>Bristol-Myers Squibb Company</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661" w:type="dxa"/>
            <w:gridSpan w:val="2"/>
            <w:tcBorders>
              <w:top w:val="single" w:sz="4" w:space="0" w:color="999999"/>
            </w:tcBorders>
            <w:vAlign w:val="center"/>
          </w:tcPr>
          <w:p>
            <w:pPr>
              <w:pStyle w:val="Title"/>
              <w:widowControl w:val="false"/>
              <w:numPr>
                <w:ilvl w:val="0"/>
                <w:numId w:val="2"/>
              </w:numPr>
              <w:spacing w:before="0" w:after="200"/>
              <w:rPr/>
            </w:pPr>
            <w:r>
              <w:rPr>
                <w:rFonts w:eastAsia="Arial" w:cs="Arial"/>
                <w:bCs/>
              </w:rPr>
              <w:t>Senior Research Investigator I, Process Research and Development</w:t>
            </w:r>
          </w:p>
        </w:tc>
        <w:tc>
          <w:tcPr>
            <w:tcW w:w="2520" w:type="dxa"/>
            <w:tcBorders>
              <w:top w:val="single" w:sz="4" w:space="0" w:color="999999"/>
            </w:tcBorders>
            <w:vAlign w:val="center"/>
          </w:tcPr>
          <w:p>
            <w:pPr>
              <w:pStyle w:val="DatewnoSpaceBefore"/>
              <w:widowControl w:val="false"/>
              <w:spacing w:before="0" w:after="200"/>
              <w:rPr/>
            </w:pPr>
            <w:r>
              <w:rPr/>
              <w:t>2004 - 2007</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661" w:type="dxa"/>
            <w:gridSpan w:val="2"/>
            <w:tcBorders/>
            <w:vAlign w:val="center"/>
          </w:tcPr>
          <w:p>
            <w:pPr>
              <w:pStyle w:val="Title"/>
              <w:widowControl w:val="false"/>
              <w:numPr>
                <w:ilvl w:val="0"/>
                <w:numId w:val="2"/>
              </w:numPr>
              <w:spacing w:before="0" w:after="200"/>
              <w:rPr/>
            </w:pPr>
            <w:r>
              <w:rPr>
                <w:rFonts w:eastAsia="Arial" w:cs="Arial"/>
                <w:bCs/>
              </w:rPr>
              <w:t>Research Investigator II, Process Research and Development</w:t>
            </w:r>
          </w:p>
        </w:tc>
        <w:tc>
          <w:tcPr>
            <w:tcW w:w="2520" w:type="dxa"/>
            <w:tcBorders/>
            <w:vAlign w:val="center"/>
          </w:tcPr>
          <w:p>
            <w:pPr>
              <w:pStyle w:val="DatewnoSpaceBefore"/>
              <w:widowControl w:val="false"/>
              <w:spacing w:before="0" w:after="200"/>
              <w:rPr/>
            </w:pPr>
            <w:r>
              <w:rPr/>
              <w:t>2000 - 2004</w:t>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tcPr>
          <w:p>
            <w:pPr>
              <w:pStyle w:val="Normal"/>
              <w:widowControl w:val="false"/>
              <w:spacing w:before="0" w:after="200"/>
              <w:rPr/>
            </w:pPr>
            <w:r>
              <w:rPr/>
            </w:r>
          </w:p>
        </w:tc>
        <w:tc>
          <w:tcPr>
            <w:tcW w:w="6661" w:type="dxa"/>
            <w:gridSpan w:val="2"/>
            <w:tcBorders/>
            <w:vAlign w:val="center"/>
          </w:tcPr>
          <w:p>
            <w:pPr>
              <w:pStyle w:val="Title"/>
              <w:widowControl w:val="false"/>
              <w:numPr>
                <w:ilvl w:val="0"/>
                <w:numId w:val="2"/>
              </w:numPr>
              <w:spacing w:before="0" w:after="200"/>
              <w:rPr>
                <w:color w:val="333399"/>
              </w:rPr>
            </w:pPr>
            <w:r>
              <w:rPr>
                <w:color w:val="333399"/>
              </w:rPr>
              <w:t>Summary of Bristol-Myers Squibb Experience</w:t>
            </w:r>
          </w:p>
        </w:tc>
        <w:tc>
          <w:tcPr>
            <w:tcW w:w="2520" w:type="dxa"/>
            <w:tcBorders/>
            <w:vAlign w:val="center"/>
          </w:tcPr>
          <w:p>
            <w:pPr>
              <w:pStyle w:val="Normal"/>
              <w:widowControl w:val="false"/>
              <w:spacing w:before="0" w:after="200"/>
              <w:ind w:hanging="0" w:start="195"/>
              <w:rPr/>
            </w:pPr>
            <w:r>
              <w:rPr/>
            </w:r>
          </w:p>
        </w:tc>
        <w:tc>
          <w:tcPr>
            <w:tcW w:w="1884" w:type="dxa"/>
            <w:tcBorders/>
          </w:tcPr>
          <w:p>
            <w:pPr>
              <w:pStyle w:val="Normal"/>
              <w:widowControl w:val="false"/>
              <w:spacing w:before="0" w:after="200"/>
              <w:rPr/>
            </w:pPr>
            <w:r>
              <w:rPr/>
            </w:r>
          </w:p>
        </w:tc>
      </w:tr>
      <w:tr>
        <w:trPr>
          <w:trHeight w:val="301" w:hRule="atLeast"/>
        </w:trPr>
        <w:tc>
          <w:tcPr>
            <w:tcW w:w="468" w:type="dxa"/>
            <w:gridSpan w:val="2"/>
            <w:vMerge w:val="continue"/>
            <w:tcBorders>
              <w:bottom w:val="single" w:sz="4" w:space="0" w:color="999999"/>
            </w:tcBorders>
          </w:tcPr>
          <w:p>
            <w:pPr>
              <w:pStyle w:val="Normal"/>
              <w:widowControl w:val="false"/>
              <w:spacing w:before="0" w:after="200"/>
              <w:rPr/>
            </w:pPr>
            <w:r>
              <w:rPr/>
            </w:r>
          </w:p>
        </w:tc>
        <w:tc>
          <w:tcPr>
            <w:tcW w:w="9181" w:type="dxa"/>
            <w:gridSpan w:val="3"/>
            <w:tcBorders/>
            <w:vAlign w:val="center"/>
          </w:tcPr>
          <w:p>
            <w:pPr>
              <w:pStyle w:val="bulletedlist"/>
              <w:widowControl w:val="false"/>
              <w:numPr>
                <w:ilvl w:val="0"/>
                <w:numId w:val="2"/>
              </w:numPr>
              <w:spacing w:before="60" w:after="200"/>
              <w:rPr/>
            </w:pPr>
            <w:r>
              <w:rPr/>
              <w:t xml:space="preserve">Held positions of increasing responsibility in the </w:t>
            </w:r>
            <w:r>
              <w:rPr/>
              <w:t xml:space="preserve">small molecule </w:t>
            </w:r>
            <w:r>
              <w:rPr/>
              <w:t xml:space="preserve">process development department. Served as the project leader for two candidates in the BMS p38 program where I led interdisciplinary teams through initial Phase I development activities, scale-up and manufacturing, through to a successful IND filing and subsequent Phase II process development. Additionally, held lead roles for several candidates in the BMS PPAR program </w:t>
            </w:r>
            <w:r>
              <w:rPr/>
              <w:t>for  the treatment of diabetes</w:t>
            </w:r>
            <w:r>
              <w:rPr/>
              <w:t xml:space="preserve">, the BMS HMG-CoA program </w:t>
            </w:r>
            <w:r>
              <w:rPr/>
              <w:t>for cholesterol lowering</w:t>
            </w:r>
            <w:r>
              <w:rPr/>
              <w:t xml:space="preserve">, as well as the BMS CRF-1 antagonist </w:t>
            </w:r>
            <w:r>
              <w:rPr/>
              <w:t>program</w:t>
            </w:r>
            <w:r>
              <w:rPr/>
              <w:t>.</w:t>
            </w:r>
          </w:p>
          <w:p>
            <w:pPr>
              <w:pStyle w:val="bulletedlist"/>
              <w:widowControl w:val="false"/>
              <w:numPr>
                <w:ilvl w:val="0"/>
                <w:numId w:val="2"/>
              </w:numPr>
              <w:spacing w:before="60" w:after="200"/>
              <w:rPr/>
            </w:pPr>
            <w:r>
              <w:rPr/>
              <w:t xml:space="preserve">Senior </w:t>
            </w:r>
            <w:r>
              <w:rPr/>
              <w:t xml:space="preserve">process </w:t>
            </w:r>
            <w:r>
              <w:rPr/>
              <w:t xml:space="preserve">engineer for the Onglyza (Saxagliptin) and contributed to the development of Sprycel (Dasatinib) </w:t>
            </w:r>
            <w:r>
              <w:rPr/>
              <w:t>for leukemia.</w:t>
            </w:r>
          </w:p>
        </w:tc>
        <w:tc>
          <w:tcPr>
            <w:tcW w:w="1884" w:type="dxa"/>
            <w:tcBorders/>
          </w:tcPr>
          <w:p>
            <w:pPr>
              <w:pStyle w:val="Normal"/>
              <w:widowControl w:val="false"/>
              <w:spacing w:before="0" w:after="200"/>
              <w:rPr/>
            </w:pPr>
            <w:r>
              <w:rPr/>
            </w:r>
          </w:p>
        </w:tc>
      </w:tr>
      <w:tr>
        <w:trPr>
          <w:trHeight w:val="153"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000080"/>
              </w:rPr>
            </w:pPr>
            <w:r>
              <w:rPr>
                <w:color w:val="000080"/>
              </w:rPr>
              <w:t>Education</w:t>
            </w:r>
          </w:p>
        </w:tc>
        <w:tc>
          <w:tcPr>
            <w:tcW w:w="1884" w:type="dxa"/>
            <w:tcBorders/>
          </w:tcPr>
          <w:p>
            <w:pPr>
              <w:pStyle w:val="Normal"/>
              <w:widowControl w:val="false"/>
              <w:spacing w:before="0" w:after="200"/>
              <w:rPr/>
            </w:pPr>
            <w:r>
              <w:rPr/>
            </w:r>
          </w:p>
        </w:tc>
      </w:tr>
      <w:tr>
        <w:trPr>
          <w:trHeight w:val="70" w:hRule="atLeast"/>
        </w:trPr>
        <w:tc>
          <w:tcPr>
            <w:tcW w:w="446" w:type="dxa"/>
            <w:vMerge w:val="restart"/>
            <w:tcBorders>
              <w:top w:val="single" w:sz="4" w:space="0" w:color="999999"/>
            </w:tcBorders>
            <w:shd w:color="auto" w:fill="auto" w:val="clear"/>
          </w:tcPr>
          <w:p>
            <w:pPr>
              <w:pStyle w:val="Normal"/>
              <w:widowControl w:val="false"/>
              <w:spacing w:before="0" w:after="200"/>
              <w:rPr/>
            </w:pPr>
            <w:r>
              <w:rPr/>
            </w:r>
          </w:p>
        </w:tc>
        <w:tc>
          <w:tcPr>
            <w:tcW w:w="9203" w:type="dxa"/>
            <w:gridSpan w:val="4"/>
            <w:tcBorders>
              <w:top w:val="single" w:sz="4" w:space="0" w:color="999999"/>
            </w:tcBorders>
          </w:tcPr>
          <w:p>
            <w:pPr>
              <w:pStyle w:val="Heading2"/>
              <w:widowControl w:val="false"/>
              <w:spacing w:before="60" w:after="200"/>
              <w:rPr/>
            </w:pPr>
            <w:r>
              <w:rPr/>
              <w:t>New Jersey Institute of Technology, Ph.D. in Chemical Engineering</w:t>
            </w:r>
          </w:p>
        </w:tc>
        <w:tc>
          <w:tcPr>
            <w:tcW w:w="1884" w:type="dxa"/>
            <w:tcBorders/>
          </w:tcPr>
          <w:p>
            <w:pPr>
              <w:pStyle w:val="Normal"/>
              <w:widowControl w:val="false"/>
              <w:spacing w:before="0" w:after="200"/>
              <w:rPr/>
            </w:pPr>
            <w:r>
              <w:rPr/>
            </w:r>
          </w:p>
        </w:tc>
      </w:tr>
      <w:tr>
        <w:trPr>
          <w:trHeight w:val="152" w:hRule="atLeast"/>
        </w:trPr>
        <w:tc>
          <w:tcPr>
            <w:tcW w:w="446" w:type="dxa"/>
            <w:vMerge w:val="continue"/>
            <w:tcBorders/>
          </w:tcPr>
          <w:p>
            <w:pPr>
              <w:pStyle w:val="Heading1"/>
              <w:widowControl w:val="false"/>
              <w:spacing w:before="80" w:after="60"/>
              <w:rPr/>
            </w:pPr>
            <w:r>
              <w:rPr/>
            </w:r>
          </w:p>
        </w:tc>
        <w:tc>
          <w:tcPr>
            <w:tcW w:w="9203" w:type="dxa"/>
            <w:gridSpan w:val="4"/>
            <w:tcBorders/>
          </w:tcPr>
          <w:p>
            <w:pPr>
              <w:pStyle w:val="Heading3"/>
              <w:widowControl w:val="false"/>
              <w:spacing w:before="0" w:after="200"/>
              <w:rPr/>
            </w:pPr>
            <w:r>
              <w:rPr/>
              <w:t>Northeastern University, M.S. in Chemical Engineering</w:t>
            </w:r>
          </w:p>
        </w:tc>
        <w:tc>
          <w:tcPr>
            <w:tcW w:w="1884" w:type="dxa"/>
            <w:tcBorders/>
          </w:tcPr>
          <w:p>
            <w:pPr>
              <w:pStyle w:val="Normal"/>
              <w:widowControl w:val="false"/>
              <w:spacing w:before="0" w:after="200"/>
              <w:rPr/>
            </w:pPr>
            <w:r>
              <w:rPr/>
            </w:r>
          </w:p>
        </w:tc>
      </w:tr>
      <w:tr>
        <w:trPr>
          <w:trHeight w:val="152" w:hRule="atLeast"/>
        </w:trPr>
        <w:tc>
          <w:tcPr>
            <w:tcW w:w="446" w:type="dxa"/>
            <w:vMerge w:val="continue"/>
            <w:tcBorders/>
          </w:tcPr>
          <w:p>
            <w:pPr>
              <w:pStyle w:val="Heading1"/>
              <w:widowControl w:val="false"/>
              <w:spacing w:before="80" w:after="60"/>
              <w:rPr/>
            </w:pPr>
            <w:r>
              <w:rPr/>
            </w:r>
          </w:p>
        </w:tc>
        <w:tc>
          <w:tcPr>
            <w:tcW w:w="9203" w:type="dxa"/>
            <w:gridSpan w:val="4"/>
            <w:tcBorders/>
          </w:tcPr>
          <w:p>
            <w:pPr>
              <w:pStyle w:val="Heading3"/>
              <w:widowControl w:val="false"/>
              <w:spacing w:before="0" w:after="200"/>
              <w:rPr/>
            </w:pPr>
            <w:r>
              <w:rPr/>
              <w:t>University of California at Berkeley, B.S. in Chemical Engineering</w:t>
            </w:r>
          </w:p>
        </w:tc>
        <w:tc>
          <w:tcPr>
            <w:tcW w:w="1884" w:type="dxa"/>
            <w:tcBorders/>
          </w:tcPr>
          <w:p>
            <w:pPr>
              <w:pStyle w:val="Normal"/>
              <w:widowControl w:val="false"/>
              <w:spacing w:before="0" w:after="200"/>
              <w:rPr/>
            </w:pPr>
            <w:r>
              <w:rPr/>
            </w:r>
          </w:p>
        </w:tc>
      </w:tr>
      <w:tr>
        <w:trPr>
          <w:trHeight w:val="301"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333399"/>
              </w:rPr>
            </w:pPr>
            <w:r>
              <w:rPr>
                <w:color w:val="333399"/>
              </w:rPr>
              <w:t>Proffessional affiliations</w:t>
            </w:r>
          </w:p>
        </w:tc>
        <w:tc>
          <w:tcPr>
            <w:tcW w:w="1884" w:type="dxa"/>
            <w:tcBorders/>
          </w:tcPr>
          <w:p>
            <w:pPr>
              <w:pStyle w:val="Normal"/>
              <w:widowControl w:val="false"/>
              <w:spacing w:before="0" w:after="200"/>
              <w:rPr/>
            </w:pPr>
            <w:r>
              <w:rPr/>
            </w:r>
          </w:p>
        </w:tc>
      </w:tr>
      <w:tr>
        <w:trPr>
          <w:trHeight w:val="301" w:hRule="atLeast"/>
        </w:trPr>
        <w:tc>
          <w:tcPr>
            <w:tcW w:w="468" w:type="dxa"/>
            <w:gridSpan w:val="2"/>
            <w:tcBorders>
              <w:top w:val="single" w:sz="4" w:space="0" w:color="999999"/>
            </w:tcBorders>
          </w:tcPr>
          <w:p>
            <w:pPr>
              <w:pStyle w:val="Normal"/>
              <w:widowControl w:val="false"/>
              <w:spacing w:before="0" w:after="200"/>
              <w:rPr/>
            </w:pPr>
            <w:r>
              <w:rPr/>
            </w:r>
          </w:p>
        </w:tc>
        <w:tc>
          <w:tcPr>
            <w:tcW w:w="9181" w:type="dxa"/>
            <w:gridSpan w:val="3"/>
            <w:tcBorders>
              <w:top w:val="single" w:sz="4" w:space="0" w:color="999999"/>
            </w:tcBorders>
            <w:vAlign w:val="center"/>
          </w:tcPr>
          <w:p>
            <w:pPr>
              <w:pStyle w:val="Title"/>
              <w:widowControl w:val="false"/>
              <w:numPr>
                <w:ilvl w:val="0"/>
                <w:numId w:val="2"/>
              </w:numPr>
              <w:spacing w:before="0" w:after="200"/>
              <w:rPr/>
            </w:pPr>
            <w:r>
              <w:rPr>
                <w:rFonts w:eastAsia="Arial" w:cs="Arial"/>
                <w:bCs/>
              </w:rPr>
              <w:t>International Society of Pharmaceutical Engineers (ISPE)</w:t>
            </w:r>
          </w:p>
        </w:tc>
        <w:tc>
          <w:tcPr>
            <w:tcW w:w="1884" w:type="dxa"/>
            <w:tcBorders/>
          </w:tcPr>
          <w:p>
            <w:pPr>
              <w:pStyle w:val="Normal"/>
              <w:widowControl w:val="false"/>
              <w:spacing w:before="0" w:after="200"/>
              <w:rPr/>
            </w:pPr>
            <w:r>
              <w:rPr/>
            </w:r>
          </w:p>
        </w:tc>
      </w:tr>
      <w:tr>
        <w:trPr>
          <w:trHeight w:val="301" w:hRule="atLeast"/>
        </w:trPr>
        <w:tc>
          <w:tcPr>
            <w:tcW w:w="468" w:type="dxa"/>
            <w:gridSpan w:val="2"/>
            <w:tcBorders/>
          </w:tcPr>
          <w:p>
            <w:pPr>
              <w:pStyle w:val="Normal"/>
              <w:widowControl w:val="false"/>
              <w:spacing w:before="0" w:after="200"/>
              <w:rPr/>
            </w:pPr>
            <w:r>
              <w:rPr/>
            </w:r>
          </w:p>
        </w:tc>
        <w:tc>
          <w:tcPr>
            <w:tcW w:w="9181" w:type="dxa"/>
            <w:gridSpan w:val="3"/>
            <w:tcBorders/>
            <w:vAlign w:val="center"/>
          </w:tcPr>
          <w:p>
            <w:pPr>
              <w:pStyle w:val="Title"/>
              <w:widowControl w:val="false"/>
              <w:numPr>
                <w:ilvl w:val="0"/>
                <w:numId w:val="2"/>
              </w:numPr>
              <w:spacing w:before="0" w:after="200"/>
              <w:rPr/>
            </w:pPr>
            <w:r>
              <w:rPr>
                <w:rFonts w:eastAsia="Arial" w:cs="Arial"/>
                <w:bCs/>
              </w:rPr>
              <w:t>American Institute of Chemical Engineers (AIChE)</w:t>
            </w:r>
          </w:p>
        </w:tc>
        <w:tc>
          <w:tcPr>
            <w:tcW w:w="1884" w:type="dxa"/>
            <w:tcBorders/>
          </w:tcPr>
          <w:p>
            <w:pPr>
              <w:pStyle w:val="Normal"/>
              <w:widowControl w:val="false"/>
              <w:spacing w:before="0" w:after="200"/>
              <w:rPr/>
            </w:pPr>
            <w:r>
              <w:rPr/>
            </w:r>
          </w:p>
        </w:tc>
      </w:tr>
      <w:tr>
        <w:trPr>
          <w:trHeight w:val="301" w:hRule="atLeast"/>
        </w:trPr>
        <w:tc>
          <w:tcPr>
            <w:tcW w:w="468" w:type="dxa"/>
            <w:gridSpan w:val="2"/>
            <w:tcBorders/>
          </w:tcPr>
          <w:p>
            <w:pPr>
              <w:pStyle w:val="Normal"/>
              <w:widowControl w:val="false"/>
              <w:spacing w:before="0" w:after="200"/>
              <w:rPr/>
            </w:pPr>
            <w:r>
              <w:rPr/>
            </w:r>
          </w:p>
        </w:tc>
        <w:tc>
          <w:tcPr>
            <w:tcW w:w="9181" w:type="dxa"/>
            <w:gridSpan w:val="3"/>
            <w:tcBorders/>
            <w:vAlign w:val="center"/>
          </w:tcPr>
          <w:p>
            <w:pPr>
              <w:pStyle w:val="bulletedlist"/>
              <w:widowControl w:val="false"/>
              <w:numPr>
                <w:ilvl w:val="1"/>
                <w:numId w:val="2"/>
              </w:numPr>
              <w:tabs>
                <w:tab w:val="clear" w:pos="720"/>
              </w:tabs>
              <w:spacing w:before="60" w:after="200"/>
              <w:ind w:hanging="360" w:start="702"/>
              <w:rPr>
                <w:rFonts w:eastAsia="Arial" w:cs="Arial"/>
              </w:rPr>
            </w:pPr>
            <w:r>
              <w:rPr>
                <w:rFonts w:eastAsia="Arial" w:cs="Arial"/>
              </w:rPr>
              <w:t>Active in Pharmaceutical Division Planning Activities</w:t>
            </w:r>
          </w:p>
          <w:p>
            <w:pPr>
              <w:pStyle w:val="bulletedlist"/>
              <w:widowControl w:val="false"/>
              <w:numPr>
                <w:ilvl w:val="1"/>
                <w:numId w:val="2"/>
              </w:numPr>
              <w:tabs>
                <w:tab w:val="clear" w:pos="720"/>
              </w:tabs>
              <w:ind w:hanging="360" w:start="702"/>
              <w:rPr>
                <w:rFonts w:eastAsia="Arial" w:cs="Arial"/>
              </w:rPr>
            </w:pPr>
            <w:r>
              <w:rPr>
                <w:rFonts w:eastAsia="Arial" w:cs="Arial"/>
              </w:rPr>
              <w:t>Served Program Chair for Pharmaceutical Division</w:t>
            </w:r>
          </w:p>
          <w:p>
            <w:pPr>
              <w:pStyle w:val="bulletedlist"/>
              <w:widowControl w:val="false"/>
              <w:numPr>
                <w:ilvl w:val="1"/>
                <w:numId w:val="2"/>
              </w:numPr>
              <w:tabs>
                <w:tab w:val="clear" w:pos="720"/>
              </w:tabs>
              <w:spacing w:before="60" w:after="200"/>
              <w:ind w:hanging="360" w:start="702"/>
              <w:rPr/>
            </w:pPr>
            <w:r>
              <w:rPr>
                <w:rFonts w:eastAsia="Arial" w:cs="Arial"/>
              </w:rPr>
              <w:t>Regularly chair several sessions at annual meetings</w:t>
            </w:r>
          </w:p>
        </w:tc>
        <w:tc>
          <w:tcPr>
            <w:tcW w:w="1884" w:type="dxa"/>
            <w:tcBorders/>
          </w:tcPr>
          <w:p>
            <w:pPr>
              <w:pStyle w:val="Normal"/>
              <w:widowControl w:val="false"/>
              <w:spacing w:before="0" w:after="200"/>
              <w:rPr/>
            </w:pPr>
            <w:r>
              <w:rPr/>
            </w:r>
          </w:p>
        </w:tc>
      </w:tr>
      <w:tr>
        <w:trPr>
          <w:trHeight w:val="301" w:hRule="atLeast"/>
        </w:trPr>
        <w:tc>
          <w:tcPr>
            <w:tcW w:w="468" w:type="dxa"/>
            <w:gridSpan w:val="2"/>
            <w:tcBorders/>
          </w:tcPr>
          <w:p>
            <w:pPr>
              <w:pStyle w:val="Normal"/>
              <w:widowControl w:val="false"/>
              <w:spacing w:before="0" w:after="200"/>
              <w:rPr/>
            </w:pPr>
            <w:r>
              <w:rPr/>
            </w:r>
          </w:p>
        </w:tc>
        <w:tc>
          <w:tcPr>
            <w:tcW w:w="9181" w:type="dxa"/>
            <w:gridSpan w:val="3"/>
            <w:tcBorders/>
            <w:vAlign w:val="center"/>
          </w:tcPr>
          <w:p>
            <w:pPr>
              <w:pStyle w:val="Title"/>
              <w:widowControl w:val="false"/>
              <w:numPr>
                <w:ilvl w:val="0"/>
                <w:numId w:val="2"/>
              </w:numPr>
              <w:spacing w:before="0" w:after="200"/>
              <w:rPr/>
            </w:pPr>
            <w:r>
              <w:rPr>
                <w:rFonts w:eastAsia="Arial" w:cs="Arial"/>
                <w:bCs/>
              </w:rPr>
              <w:t>North American Mixing Forum (NAMF)</w:t>
            </w:r>
          </w:p>
        </w:tc>
        <w:tc>
          <w:tcPr>
            <w:tcW w:w="1884" w:type="dxa"/>
            <w:tcBorders/>
          </w:tcPr>
          <w:p>
            <w:pPr>
              <w:pStyle w:val="Normal"/>
              <w:widowControl w:val="false"/>
              <w:spacing w:before="0" w:after="200"/>
              <w:rPr/>
            </w:pPr>
            <w:r>
              <w:rPr/>
            </w:r>
          </w:p>
        </w:tc>
      </w:tr>
      <w:tr>
        <w:trPr>
          <w:trHeight w:val="301" w:hRule="atLeast"/>
        </w:trPr>
        <w:tc>
          <w:tcPr>
            <w:tcW w:w="468" w:type="dxa"/>
            <w:gridSpan w:val="2"/>
            <w:tcBorders>
              <w:bottom w:val="single" w:sz="4" w:space="0" w:color="999999"/>
            </w:tcBorders>
          </w:tcPr>
          <w:p>
            <w:pPr>
              <w:pStyle w:val="Normal"/>
              <w:widowControl w:val="false"/>
              <w:spacing w:before="0" w:after="200"/>
              <w:rPr/>
            </w:pPr>
            <w:r>
              <w:rPr/>
            </w:r>
          </w:p>
        </w:tc>
        <w:tc>
          <w:tcPr>
            <w:tcW w:w="9181" w:type="dxa"/>
            <w:gridSpan w:val="3"/>
            <w:tcBorders>
              <w:bottom w:val="single" w:sz="4" w:space="0" w:color="999999"/>
            </w:tcBorders>
            <w:vAlign w:val="center"/>
          </w:tcPr>
          <w:p>
            <w:pPr>
              <w:pStyle w:val="bulletedlist"/>
              <w:widowControl w:val="false"/>
              <w:numPr>
                <w:ilvl w:val="1"/>
                <w:numId w:val="2"/>
              </w:numPr>
              <w:tabs>
                <w:tab w:val="clear" w:pos="720"/>
              </w:tabs>
              <w:spacing w:before="60" w:after="200"/>
              <w:ind w:hanging="360" w:start="702"/>
              <w:rPr>
                <w:rFonts w:eastAsia="Arial" w:cs="Arial"/>
              </w:rPr>
            </w:pPr>
            <w:r>
              <w:rPr>
                <w:rFonts w:eastAsia="Arial" w:cs="Arial"/>
              </w:rPr>
              <w:t>President Emeritus</w:t>
            </w:r>
          </w:p>
        </w:tc>
        <w:tc>
          <w:tcPr>
            <w:tcW w:w="1884" w:type="dxa"/>
            <w:tcBorders/>
          </w:tcPr>
          <w:p>
            <w:pPr>
              <w:pStyle w:val="Normal"/>
              <w:widowControl w:val="false"/>
              <w:spacing w:before="0" w:after="200"/>
              <w:rPr/>
            </w:pPr>
            <w:r>
              <w:rPr/>
            </w:r>
          </w:p>
        </w:tc>
      </w:tr>
      <w:tr>
        <w:trPr>
          <w:trHeight w:val="301"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333399"/>
              </w:rPr>
            </w:pPr>
            <w:r>
              <w:rPr>
                <w:rFonts w:eastAsia="Arial" w:cs="Arial"/>
                <w:bCs/>
                <w:color w:val="333399"/>
              </w:rPr>
              <w:t>Patents</w:t>
            </w:r>
          </w:p>
        </w:tc>
        <w:tc>
          <w:tcPr>
            <w:tcW w:w="1884" w:type="dxa"/>
            <w:tcBorders/>
          </w:tcPr>
          <w:p>
            <w:pPr>
              <w:pStyle w:val="Normal"/>
              <w:widowControl w:val="false"/>
              <w:spacing w:before="0" w:after="200"/>
              <w:rPr/>
            </w:pPr>
            <w:r>
              <w:rPr/>
            </w:r>
          </w:p>
        </w:tc>
      </w:tr>
      <w:tr>
        <w:trPr>
          <w:trHeight w:val="301" w:hRule="atLeast"/>
        </w:trPr>
        <w:tc>
          <w:tcPr>
            <w:tcW w:w="468" w:type="dxa"/>
            <w:gridSpan w:val="2"/>
            <w:tcBorders>
              <w:top w:val="single" w:sz="4" w:space="0" w:color="999999"/>
            </w:tcBorders>
          </w:tcPr>
          <w:p>
            <w:pPr>
              <w:pStyle w:val="Normal"/>
              <w:widowControl w:val="false"/>
              <w:spacing w:before="0" w:after="200"/>
              <w:rPr/>
            </w:pPr>
            <w:r>
              <w:rPr/>
            </w:r>
          </w:p>
        </w:tc>
        <w:tc>
          <w:tcPr>
            <w:tcW w:w="9181" w:type="dxa"/>
            <w:gridSpan w:val="3"/>
            <w:tcBorders>
              <w:top w:val="single" w:sz="4" w:space="0" w:color="999999"/>
            </w:tcBorders>
            <w:vAlign w:val="center"/>
          </w:tcPr>
          <w:p>
            <w:pPr>
              <w:pStyle w:val="Normal"/>
              <w:widowControl w:val="false"/>
              <w:spacing w:before="0" w:after="200"/>
              <w:rPr/>
            </w:pPr>
            <w:r>
              <w:rPr>
                <w:rFonts w:eastAsia="Arial" w:cs="Arial"/>
              </w:rPr>
              <w:t>Chenkou Wei and Otute Akiti: Crystallization system using homogenization, International Publication Number: WO 03/095059 A1, International Publication Date: 20 November, 2003.</w:t>
            </w:r>
          </w:p>
        </w:tc>
        <w:tc>
          <w:tcPr>
            <w:tcW w:w="1884" w:type="dxa"/>
            <w:tcBorders/>
          </w:tcPr>
          <w:p>
            <w:pPr>
              <w:pStyle w:val="Normal"/>
              <w:widowControl w:val="false"/>
              <w:spacing w:before="0" w:after="200"/>
              <w:rPr/>
            </w:pPr>
            <w:r>
              <w:rPr/>
            </w:r>
          </w:p>
        </w:tc>
      </w:tr>
      <w:tr>
        <w:trPr>
          <w:trHeight w:val="301" w:hRule="atLeast"/>
        </w:trPr>
        <w:tc>
          <w:tcPr>
            <w:tcW w:w="468" w:type="dxa"/>
            <w:gridSpan w:val="2"/>
            <w:tcBorders>
              <w:bottom w:val="single" w:sz="4" w:space="0" w:color="000000"/>
            </w:tcBorders>
          </w:tcPr>
          <w:p>
            <w:pPr>
              <w:pStyle w:val="Normal"/>
              <w:widowControl w:val="false"/>
              <w:spacing w:before="0" w:after="200"/>
              <w:rPr/>
            </w:pPr>
            <w:r>
              <w:rPr/>
            </w:r>
          </w:p>
        </w:tc>
        <w:tc>
          <w:tcPr>
            <w:tcW w:w="9181" w:type="dxa"/>
            <w:gridSpan w:val="3"/>
            <w:tcBorders>
              <w:bottom w:val="single" w:sz="4" w:space="0" w:color="000000"/>
            </w:tcBorders>
            <w:vAlign w:val="center"/>
          </w:tcPr>
          <w:p>
            <w:pPr>
              <w:pStyle w:val="Normal"/>
              <w:widowControl w:val="false"/>
              <w:spacing w:before="0" w:after="200"/>
              <w:rPr>
                <w:rFonts w:eastAsia="Arial" w:cs="Arial"/>
              </w:rPr>
            </w:pPr>
            <w:r>
              <w:rPr>
                <w:rFonts w:eastAsia="Arial" w:cs="Arial"/>
              </w:rPr>
              <w:t>Chenkou Wei, Margaret M. Peel, Otute Akiti: Crystallization system utilizing atomization, International Publication Number: WO 03/092852 A1, International Publication Date; 13 November, 2003.</w:t>
            </w:r>
          </w:p>
          <w:p>
            <w:pPr>
              <w:pStyle w:val="Normal"/>
              <w:widowControl w:val="false"/>
              <w:spacing w:before="0" w:after="200"/>
              <w:rPr>
                <w:rFonts w:eastAsia="Arial" w:cs="Arial"/>
              </w:rPr>
            </w:pPr>
            <w:r>
              <w:rPr>
                <w:rFonts w:eastAsia="Arial" w:cs="Arial"/>
              </w:rPr>
            </w:r>
          </w:p>
        </w:tc>
        <w:tc>
          <w:tcPr>
            <w:tcW w:w="1884" w:type="dxa"/>
            <w:tcBorders/>
          </w:tcPr>
          <w:p>
            <w:pPr>
              <w:pStyle w:val="Normal"/>
              <w:widowControl w:val="false"/>
              <w:spacing w:before="0" w:after="200"/>
              <w:rPr/>
            </w:pPr>
            <w:r>
              <w:rPr/>
            </w:r>
          </w:p>
        </w:tc>
      </w:tr>
      <w:tr>
        <w:trPr>
          <w:trHeight w:val="255" w:hRule="atLeast"/>
        </w:trPr>
        <w:tc>
          <w:tcPr>
            <w:tcW w:w="9649" w:type="dxa"/>
            <w:gridSpan w:val="5"/>
            <w:tcBorders>
              <w:top w:val="single" w:sz="4" w:space="0" w:color="000000"/>
              <w:bottom w:val="single" w:sz="4" w:space="0" w:color="999999"/>
            </w:tcBorders>
          </w:tcPr>
          <w:p>
            <w:pPr>
              <w:pStyle w:val="Heading1"/>
              <w:widowControl w:val="false"/>
              <w:spacing w:before="80" w:after="60"/>
              <w:rPr>
                <w:color w:val="000080"/>
              </w:rPr>
            </w:pPr>
            <w:r>
              <w:rPr>
                <w:color w:val="000080"/>
              </w:rPr>
              <w:t>Selected Publications and papers</w:t>
            </w:r>
          </w:p>
        </w:tc>
        <w:tc>
          <w:tcPr>
            <w:tcW w:w="1884" w:type="dxa"/>
            <w:tcBorders/>
          </w:tcPr>
          <w:p>
            <w:pPr>
              <w:pStyle w:val="Normal"/>
              <w:widowControl w:val="false"/>
              <w:spacing w:before="0" w:after="200"/>
              <w:rPr/>
            </w:pPr>
            <w:r>
              <w:rPr/>
            </w:r>
          </w:p>
        </w:tc>
      </w:tr>
      <w:tr>
        <w:trPr>
          <w:trHeight w:val="255" w:hRule="atLeast"/>
        </w:trPr>
        <w:tc>
          <w:tcPr>
            <w:tcW w:w="468" w:type="dxa"/>
            <w:gridSpan w:val="2"/>
            <w:tcBorders>
              <w:top w:val="single" w:sz="4" w:space="0" w:color="999999"/>
              <w:bottom w:val="single" w:sz="4" w:space="0" w:color="999999"/>
            </w:tcBorders>
          </w:tcPr>
          <w:p>
            <w:pPr>
              <w:pStyle w:val="Heading1"/>
              <w:widowControl w:val="false"/>
              <w:spacing w:before="80" w:after="60"/>
              <w:rPr/>
            </w:pPr>
            <w:r>
              <w:rPr/>
            </w:r>
          </w:p>
        </w:tc>
        <w:tc>
          <w:tcPr>
            <w:tcW w:w="9181" w:type="dxa"/>
            <w:gridSpan w:val="3"/>
            <w:tcBorders>
              <w:top w:val="single" w:sz="4" w:space="0" w:color="999999"/>
              <w:bottom w:val="single" w:sz="4" w:space="0" w:color="999999"/>
            </w:tcBorders>
          </w:tcPr>
          <w:p>
            <w:pPr>
              <w:pStyle w:val="bulletedlist"/>
              <w:widowControl w:val="false"/>
              <w:numPr>
                <w:ilvl w:val="0"/>
                <w:numId w:val="2"/>
              </w:numPr>
              <w:spacing w:before="60" w:after="200"/>
              <w:rPr>
                <w:rFonts w:eastAsia="Arial" w:cs="Arial"/>
                <w:b/>
                <w:bCs/>
                <w:color w:val="000000"/>
              </w:rPr>
            </w:pPr>
            <w:r>
              <w:rPr>
                <w:rFonts w:eastAsia="Arial" w:cs="Arial"/>
                <w:color w:val="000000"/>
              </w:rPr>
              <w:t xml:space="preserve">Piero Armenante and Otute Akiti, </w:t>
            </w:r>
            <w:hyperlink r:id="rId2">
              <w:r>
                <w:rPr>
                  <w:rStyle w:val="Hyperlink"/>
                  <w:rFonts w:eastAsia="Arial" w:cs="Arial"/>
                  <w:bCs/>
                  <w:i/>
                </w:rPr>
                <w:t>Sterilization Processes in the Pharmaceutical Industry</w:t>
              </w:r>
            </w:hyperlink>
            <w:r>
              <w:rPr>
                <w:rFonts w:eastAsia="Arial" w:cs="Arial"/>
                <w:bCs/>
                <w:i/>
                <w:color w:val="000000"/>
              </w:rPr>
              <w:t>, Chapter in Chemical Engineering in the Pharmaceutical Industry: Drug Product Design, Development, and Modeling, 2nd Edition, Wiley 2019</w:t>
            </w:r>
          </w:p>
          <w:p>
            <w:pPr>
              <w:pStyle w:val="bulletedlist"/>
              <w:widowControl w:val="false"/>
              <w:numPr>
                <w:ilvl w:val="0"/>
                <w:numId w:val="2"/>
              </w:numPr>
              <w:rPr>
                <w:rFonts w:eastAsia="Arial" w:cs="Arial"/>
                <w:color w:val="000000"/>
              </w:rPr>
            </w:pPr>
            <w:r>
              <w:rPr>
                <w:rFonts w:eastAsia="Arial" w:cs="Arial"/>
                <w:color w:val="000000"/>
              </w:rPr>
              <w:t xml:space="preserve">Otute Akiti and Piero Armenante, </w:t>
            </w:r>
            <w:hyperlink r:id="rId3">
              <w:r>
                <w:rPr>
                  <w:rStyle w:val="Hyperlink"/>
                  <w:rFonts w:eastAsia="Arial" w:cs="Arial"/>
                  <w:bCs/>
                  <w:i/>
                </w:rPr>
                <w:t>Mixing and Processes Validation in the Pharmaceutical Industry</w:t>
              </w:r>
            </w:hyperlink>
            <w:r>
              <w:rPr>
                <w:rFonts w:eastAsia="Arial" w:cs="Arial"/>
                <w:bCs/>
                <w:color w:val="000000"/>
              </w:rPr>
              <w:t xml:space="preserve">, Chapter in </w:t>
            </w:r>
            <w:r>
              <w:rPr>
                <w:rFonts w:eastAsia="Arial" w:cs="Arial"/>
                <w:bCs/>
                <w:i/>
                <w:color w:val="000000"/>
              </w:rPr>
              <w:t>Advances in Industrial Mixing: A Companion to the Handbook of Industrial Mixing</w:t>
            </w:r>
            <w:r>
              <w:rPr>
                <w:rFonts w:eastAsia="Arial" w:cs="Arial"/>
                <w:bCs/>
                <w:color w:val="000000"/>
              </w:rPr>
              <w:t>, Wiley 2015.</w:t>
            </w:r>
          </w:p>
          <w:p>
            <w:pPr>
              <w:pStyle w:val="bulletedlist"/>
              <w:widowControl w:val="false"/>
              <w:numPr>
                <w:ilvl w:val="0"/>
                <w:numId w:val="2"/>
              </w:numPr>
              <w:rPr>
                <w:rFonts w:eastAsia="Arial" w:cs="Arial"/>
                <w:color w:val="000000"/>
              </w:rPr>
            </w:pPr>
            <w:r>
              <w:rPr>
                <w:rFonts w:eastAsia="Arial" w:cs="Arial"/>
                <w:color w:val="000000"/>
              </w:rPr>
              <w:t>Lindsay A. Hobson, Otute Akiti, et al, "</w:t>
            </w:r>
            <w:hyperlink r:id="rId4">
              <w:r>
                <w:rPr>
                  <w:rStyle w:val="ListLabel20"/>
                  <w:rFonts w:eastAsia="Arial" w:cs="Arial"/>
                  <w:color w:val="0000FF"/>
                  <w:u w:val="single"/>
                </w:rPr>
                <w:t>Development</w:t>
              </w:r>
            </w:hyperlink>
            <w:hyperlink r:id="rId5">
              <w:r>
                <w:rPr>
                  <w:rStyle w:val="ListLabel20"/>
                  <w:rFonts w:eastAsia="Arial" w:cs="Arial"/>
                  <w:color w:val="0000FF"/>
                  <w:u w:val="single"/>
                </w:rPr>
                <w:t xml:space="preserve"> </w:t>
              </w:r>
            </w:hyperlink>
            <w:hyperlink r:id="rId6">
              <w:r>
                <w:rPr>
                  <w:rStyle w:val="ListLabel20"/>
                  <w:rFonts w:eastAsia="Arial" w:cs="Arial"/>
                  <w:color w:val="0000FF"/>
                  <w:u w:val="single"/>
                </w:rPr>
                <w:t>of</w:t>
              </w:r>
            </w:hyperlink>
            <w:hyperlink r:id="rId7">
              <w:r>
                <w:rPr>
                  <w:rStyle w:val="ListLabel20"/>
                  <w:rFonts w:eastAsia="Arial" w:cs="Arial"/>
                  <w:color w:val="0000FF"/>
                  <w:u w:val="single"/>
                </w:rPr>
                <w:t xml:space="preserve"> </w:t>
              </w:r>
            </w:hyperlink>
            <w:hyperlink r:id="rId8">
              <w:r>
                <w:rPr>
                  <w:rStyle w:val="ListLabel20"/>
                  <w:rFonts w:eastAsia="Arial" w:cs="Arial"/>
                  <w:color w:val="0000FF"/>
                  <w:u w:val="single"/>
                </w:rPr>
                <w:t>a</w:t>
              </w:r>
            </w:hyperlink>
            <w:hyperlink r:id="rId9">
              <w:r>
                <w:rPr>
                  <w:rStyle w:val="ListLabel20"/>
                  <w:rFonts w:eastAsia="Arial" w:cs="Arial"/>
                  <w:color w:val="0000FF"/>
                  <w:u w:val="single"/>
                </w:rPr>
                <w:t xml:space="preserve"> </w:t>
              </w:r>
            </w:hyperlink>
            <w:hyperlink r:id="rId10">
              <w:r>
                <w:rPr>
                  <w:rStyle w:val="ListLabel20"/>
                  <w:rFonts w:eastAsia="Arial" w:cs="Arial"/>
                  <w:color w:val="0000FF"/>
                  <w:u w:val="single"/>
                </w:rPr>
                <w:t>Scaleable</w:t>
              </w:r>
            </w:hyperlink>
            <w:hyperlink r:id="rId11">
              <w:r>
                <w:rPr>
                  <w:rStyle w:val="ListLabel20"/>
                  <w:rFonts w:eastAsia="Arial" w:cs="Arial"/>
                  <w:color w:val="0000FF"/>
                  <w:u w:val="single"/>
                </w:rPr>
                <w:t xml:space="preserve"> </w:t>
              </w:r>
            </w:hyperlink>
            <w:hyperlink r:id="rId12">
              <w:r>
                <w:rPr>
                  <w:rStyle w:val="ListLabel20"/>
                  <w:rFonts w:eastAsia="Arial" w:cs="Arial"/>
                  <w:color w:val="0000FF"/>
                  <w:u w:val="single"/>
                </w:rPr>
                <w:t>Process</w:t>
              </w:r>
            </w:hyperlink>
            <w:hyperlink r:id="rId13">
              <w:r>
                <w:rPr>
                  <w:rStyle w:val="ListLabel20"/>
                  <w:rFonts w:eastAsia="Arial" w:cs="Arial"/>
                  <w:color w:val="0000FF"/>
                  <w:u w:val="single"/>
                </w:rPr>
                <w:t xml:space="preserve"> </w:t>
              </w:r>
            </w:hyperlink>
            <w:hyperlink r:id="rId14">
              <w:r>
                <w:rPr>
                  <w:rStyle w:val="ListLabel20"/>
                  <w:rFonts w:eastAsia="Arial" w:cs="Arial"/>
                  <w:color w:val="0000FF"/>
                  <w:u w:val="single"/>
                </w:rPr>
                <w:t>for</w:t>
              </w:r>
            </w:hyperlink>
            <w:hyperlink r:id="rId15">
              <w:r>
                <w:rPr>
                  <w:rStyle w:val="ListLabel20"/>
                  <w:rFonts w:eastAsia="Arial" w:cs="Arial"/>
                  <w:color w:val="0000FF"/>
                  <w:u w:val="single"/>
                </w:rPr>
                <w:t xml:space="preserve"> </w:t>
              </w:r>
            </w:hyperlink>
            <w:hyperlink r:id="rId16">
              <w:r>
                <w:rPr>
                  <w:rStyle w:val="ListLabel20"/>
                  <w:rFonts w:eastAsia="Arial" w:cs="Arial"/>
                  <w:color w:val="0000FF"/>
                  <w:u w:val="single"/>
                </w:rPr>
                <w:t>the</w:t>
              </w:r>
            </w:hyperlink>
            <w:hyperlink r:id="rId17">
              <w:r>
                <w:rPr>
                  <w:rStyle w:val="ListLabel20"/>
                  <w:rFonts w:eastAsia="Arial" w:cs="Arial"/>
                  <w:color w:val="0000FF"/>
                  <w:u w:val="single"/>
                </w:rPr>
                <w:t xml:space="preserve"> </w:t>
              </w:r>
            </w:hyperlink>
            <w:hyperlink r:id="rId18">
              <w:r>
                <w:rPr>
                  <w:rStyle w:val="ListLabel20"/>
                  <w:rFonts w:eastAsia="Arial" w:cs="Arial"/>
                  <w:color w:val="0000FF"/>
                  <w:u w:val="single"/>
                </w:rPr>
                <w:t>Synthesis</w:t>
              </w:r>
            </w:hyperlink>
            <w:hyperlink r:id="rId19">
              <w:r>
                <w:rPr>
                  <w:rStyle w:val="ListLabel20"/>
                  <w:rFonts w:eastAsia="Arial" w:cs="Arial"/>
                  <w:color w:val="0000FF"/>
                  <w:u w:val="single"/>
                </w:rPr>
                <w:t xml:space="preserve"> </w:t>
              </w:r>
            </w:hyperlink>
            <w:hyperlink r:id="rId20">
              <w:r>
                <w:rPr>
                  <w:rStyle w:val="ListLabel20"/>
                  <w:rFonts w:eastAsia="Arial" w:cs="Arial"/>
                  <w:color w:val="0000FF"/>
                  <w:u w:val="single"/>
                </w:rPr>
                <w:t>of</w:t>
              </w:r>
            </w:hyperlink>
            <w:hyperlink r:id="rId21">
              <w:r>
                <w:rPr>
                  <w:rStyle w:val="ListLabel20"/>
                  <w:rFonts w:eastAsia="Arial" w:cs="Arial"/>
                  <w:color w:val="0000FF"/>
                  <w:u w:val="single"/>
                </w:rPr>
                <w:t xml:space="preserve"> </w:t>
              </w:r>
            </w:hyperlink>
            <w:hyperlink r:id="rId22">
              <w:r>
                <w:rPr>
                  <w:rStyle w:val="ListLabel20"/>
                  <w:rFonts w:eastAsia="Arial" w:cs="Arial"/>
                  <w:color w:val="0000FF"/>
                  <w:u w:val="single"/>
                </w:rPr>
                <w:t>a</w:t>
              </w:r>
            </w:hyperlink>
            <w:hyperlink r:id="rId23">
              <w:r>
                <w:rPr>
                  <w:rStyle w:val="ListLabel20"/>
                  <w:rFonts w:eastAsia="Arial" w:cs="Arial"/>
                  <w:color w:val="0000FF"/>
                  <w:u w:val="single"/>
                </w:rPr>
                <w:t xml:space="preserve"> </w:t>
              </w:r>
            </w:hyperlink>
            <w:hyperlink r:id="rId24">
              <w:r>
                <w:rPr>
                  <w:rStyle w:val="ListLabel20"/>
                  <w:rFonts w:eastAsia="Arial" w:cs="Arial"/>
                  <w:color w:val="0000FF"/>
                  <w:u w:val="single"/>
                </w:rPr>
                <w:t>Next</w:t>
              </w:r>
            </w:hyperlink>
            <w:hyperlink r:id="rId25">
              <w:r>
                <w:rPr>
                  <w:rStyle w:val="ListLabel20"/>
                  <w:rFonts w:eastAsia="Arial" w:cs="Arial"/>
                  <w:color w:val="0000FF"/>
                  <w:u w:val="single"/>
                </w:rPr>
                <w:t>-</w:t>
              </w:r>
            </w:hyperlink>
            <w:hyperlink r:id="rId26">
              <w:r>
                <w:rPr>
                  <w:rStyle w:val="ListLabel20"/>
                  <w:rFonts w:eastAsia="Arial" w:cs="Arial"/>
                  <w:color w:val="0000FF"/>
                  <w:u w:val="single"/>
                </w:rPr>
                <w:t>Generation</w:t>
              </w:r>
            </w:hyperlink>
            <w:hyperlink r:id="rId27">
              <w:r>
                <w:rPr>
                  <w:rStyle w:val="ListLabel20"/>
                  <w:rFonts w:eastAsia="Arial" w:cs="Arial"/>
                  <w:color w:val="0000FF"/>
                  <w:u w:val="single"/>
                </w:rPr>
                <w:t xml:space="preserve"> </w:t>
              </w:r>
            </w:hyperlink>
            <w:hyperlink r:id="rId28">
              <w:r>
                <w:rPr>
                  <w:rStyle w:val="ListLabel20"/>
                  <w:rFonts w:eastAsia="Arial" w:cs="Arial"/>
                  <w:color w:val="0000FF"/>
                  <w:u w:val="single"/>
                </w:rPr>
                <w:t>Statin</w:t>
              </w:r>
            </w:hyperlink>
            <w:r>
              <w:rPr>
                <w:rFonts w:eastAsia="Arial" w:cs="Arial"/>
                <w:color w:val="000000"/>
              </w:rPr>
              <w:t>", Organic Process Research and Development, (2010), pp 441-458</w:t>
            </w:r>
          </w:p>
          <w:p>
            <w:pPr>
              <w:pStyle w:val="bulletedlist"/>
              <w:widowControl w:val="false"/>
              <w:numPr>
                <w:ilvl w:val="0"/>
                <w:numId w:val="2"/>
              </w:numPr>
              <w:rPr>
                <w:rFonts w:eastAsia="Arial" w:cs="Arial"/>
                <w:color w:val="000000"/>
              </w:rPr>
            </w:pPr>
            <w:r>
              <w:rPr>
                <w:rFonts w:eastAsia="Arial" w:cs="Arial"/>
                <w:color w:val="000000"/>
              </w:rPr>
              <w:t>Otute Akiti, Agnes Yeboah, Ge Bai and Piero Armenante, “Hydrodynamic Effects of Mixing and Competitive Reactions in Laboratory Reaction Vessels”, Chemical Engineering Science, 60(2005), pp 2341-2354.</w:t>
            </w:r>
          </w:p>
          <w:p>
            <w:pPr>
              <w:pStyle w:val="bulletedlist"/>
              <w:widowControl w:val="false"/>
              <w:numPr>
                <w:ilvl w:val="0"/>
                <w:numId w:val="2"/>
              </w:numPr>
              <w:rPr>
                <w:rFonts w:eastAsia="Arial" w:cs="Arial"/>
                <w:color w:val="000000"/>
              </w:rPr>
            </w:pPr>
            <w:r>
              <w:rPr>
                <w:rFonts w:eastAsia="Arial" w:cs="Arial"/>
                <w:color w:val="000000"/>
              </w:rPr>
              <w:t>Otute Akiti and Piero M. Armenante, “Experimentally validated micro-mixing based for fed-batch stirred reactors”, AIChE Journal, 50(3) , pp 566 – 577</w:t>
            </w:r>
          </w:p>
          <w:p>
            <w:pPr>
              <w:pStyle w:val="bulletedlist"/>
              <w:widowControl w:val="false"/>
              <w:numPr>
                <w:ilvl w:val="0"/>
                <w:numId w:val="2"/>
              </w:numPr>
              <w:spacing w:before="60" w:after="200"/>
              <w:rPr/>
            </w:pPr>
            <w:r>
              <w:rPr>
                <w:rFonts w:eastAsia="Arial" w:cs="Arial"/>
              </w:rPr>
              <w:t>Akiti et al, "Multiphasic or 'Pulsatile' Controlled Release System for the Delivery of Vaccines", in Human Biomaterials Applications, Humana Press Inc., 1996.</w:t>
            </w:r>
          </w:p>
        </w:tc>
        <w:tc>
          <w:tcPr>
            <w:tcW w:w="1884" w:type="dxa"/>
            <w:tcBorders/>
          </w:tcPr>
          <w:p>
            <w:pPr>
              <w:pStyle w:val="Normal"/>
              <w:widowControl w:val="false"/>
              <w:spacing w:before="0" w:after="200"/>
              <w:rPr/>
            </w:pPr>
            <w:r>
              <w:rPr/>
            </w:r>
          </w:p>
        </w:tc>
      </w:tr>
      <w:tr>
        <w:trPr>
          <w:trHeight w:val="301" w:hRule="atLeast"/>
        </w:trPr>
        <w:tc>
          <w:tcPr>
            <w:tcW w:w="9649" w:type="dxa"/>
            <w:gridSpan w:val="5"/>
            <w:tcBorders>
              <w:top w:val="single" w:sz="4" w:space="0" w:color="999999"/>
              <w:bottom w:val="single" w:sz="4" w:space="0" w:color="999999"/>
            </w:tcBorders>
          </w:tcPr>
          <w:p>
            <w:pPr>
              <w:pStyle w:val="Heading1"/>
              <w:widowControl w:val="false"/>
              <w:spacing w:before="80" w:after="60"/>
              <w:rPr>
                <w:color w:val="333399"/>
              </w:rPr>
            </w:pPr>
            <w:r>
              <w:rPr>
                <w:rFonts w:eastAsia="Arial" w:cs="Arial"/>
                <w:bCs/>
                <w:color w:val="333399"/>
              </w:rPr>
              <w:t>Presentations</w:t>
            </w:r>
          </w:p>
        </w:tc>
        <w:tc>
          <w:tcPr>
            <w:tcW w:w="1884" w:type="dxa"/>
            <w:tcBorders/>
          </w:tcPr>
          <w:p>
            <w:pPr>
              <w:pStyle w:val="Normal"/>
              <w:widowControl w:val="false"/>
              <w:spacing w:before="0" w:after="200"/>
              <w:rPr/>
            </w:pPr>
            <w:r>
              <w:rPr/>
            </w:r>
          </w:p>
        </w:tc>
      </w:tr>
      <w:tr>
        <w:trPr>
          <w:trHeight w:val="301" w:hRule="atLeast"/>
        </w:trPr>
        <w:tc>
          <w:tcPr>
            <w:tcW w:w="468" w:type="dxa"/>
            <w:gridSpan w:val="2"/>
            <w:tcBorders>
              <w:top w:val="single" w:sz="4" w:space="0" w:color="999999"/>
            </w:tcBorders>
          </w:tcPr>
          <w:p>
            <w:pPr>
              <w:pStyle w:val="Normal"/>
              <w:widowControl w:val="false"/>
              <w:spacing w:before="0" w:after="200"/>
              <w:rPr/>
            </w:pPr>
            <w:r>
              <w:rPr/>
            </w:r>
          </w:p>
        </w:tc>
        <w:tc>
          <w:tcPr>
            <w:tcW w:w="9181" w:type="dxa"/>
            <w:gridSpan w:val="3"/>
            <w:tcBorders>
              <w:top w:val="single" w:sz="4" w:space="0" w:color="999999"/>
            </w:tcBorders>
            <w:vAlign w:val="center"/>
          </w:tcPr>
          <w:p>
            <w:pPr>
              <w:pStyle w:val="bulletedlist"/>
              <w:widowControl w:val="false"/>
              <w:numPr>
                <w:ilvl w:val="0"/>
                <w:numId w:val="2"/>
              </w:numPr>
              <w:spacing w:before="60" w:after="200"/>
              <w:rPr>
                <w:rFonts w:eastAsia="Arial" w:cs="Arial"/>
              </w:rPr>
            </w:pPr>
            <w:r>
              <w:rPr>
                <w:rFonts w:eastAsia="Arial" w:cs="Arial"/>
              </w:rPr>
              <w:t>Authored or co-authored several presentations at the Annual Meeting of the American Institute of Chemical Engineers since 1999.</w:t>
            </w:r>
          </w:p>
          <w:p>
            <w:pPr>
              <w:pStyle w:val="bulletedlist"/>
              <w:widowControl w:val="false"/>
              <w:numPr>
                <w:ilvl w:val="0"/>
                <w:numId w:val="2"/>
              </w:numPr>
              <w:spacing w:before="60" w:after="200"/>
              <w:rPr>
                <w:rFonts w:eastAsia="Arial" w:cs="Arial"/>
              </w:rPr>
            </w:pPr>
            <w:r>
              <w:rPr>
                <w:rFonts w:eastAsia="Arial" w:cs="Arial"/>
              </w:rPr>
              <w:t>Full list available upon request.</w:t>
            </w:r>
          </w:p>
          <w:p>
            <w:pPr>
              <w:pStyle w:val="bulletedlist"/>
              <w:widowControl w:val="false"/>
              <w:numPr>
                <w:ilvl w:val="0"/>
                <w:numId w:val="0"/>
              </w:numPr>
              <w:spacing w:before="60" w:after="200"/>
              <w:ind w:hanging="0" w:start="288"/>
              <w:rPr>
                <w:rFonts w:eastAsia="Arial" w:cs="Arial"/>
              </w:rPr>
            </w:pPr>
            <w:r>
              <w:rPr/>
            </w:r>
          </w:p>
        </w:tc>
        <w:tc>
          <w:tcPr>
            <w:tcW w:w="1884" w:type="dxa"/>
            <w:tcBorders/>
          </w:tcPr>
          <w:p>
            <w:pPr>
              <w:pStyle w:val="Normal"/>
              <w:widowControl w:val="false"/>
              <w:spacing w:before="0" w:after="200"/>
              <w:rPr/>
            </w:pPr>
            <w:r>
              <w:rPr/>
            </w:r>
          </w:p>
        </w:tc>
      </w:tr>
      <w:tr>
        <w:trPr>
          <w:trHeight w:val="255" w:hRule="atLeast"/>
        </w:trPr>
        <w:tc>
          <w:tcPr>
            <w:tcW w:w="9649" w:type="dxa"/>
            <w:gridSpan w:val="5"/>
            <w:tcBorders>
              <w:bottom w:val="single" w:sz="4" w:space="0" w:color="999999"/>
            </w:tcBorders>
          </w:tcPr>
          <w:p>
            <w:pPr>
              <w:pStyle w:val="Heading1"/>
              <w:widowControl w:val="false"/>
              <w:spacing w:before="80" w:after="60"/>
              <w:rPr>
                <w:color w:val="000080"/>
              </w:rPr>
            </w:pPr>
            <w:r>
              <w:rPr>
                <w:color w:val="000080"/>
              </w:rPr>
              <w:t>Languages</w:t>
            </w:r>
          </w:p>
        </w:tc>
        <w:tc>
          <w:tcPr>
            <w:tcW w:w="1884" w:type="dxa"/>
            <w:tcBorders/>
          </w:tcPr>
          <w:p>
            <w:pPr>
              <w:pStyle w:val="Normal"/>
              <w:widowControl w:val="false"/>
              <w:spacing w:before="0" w:after="200"/>
              <w:rPr/>
            </w:pPr>
            <w:r>
              <w:rPr/>
            </w:r>
          </w:p>
        </w:tc>
      </w:tr>
      <w:tr>
        <w:trPr>
          <w:trHeight w:val="255" w:hRule="atLeast"/>
        </w:trPr>
        <w:tc>
          <w:tcPr>
            <w:tcW w:w="468" w:type="dxa"/>
            <w:gridSpan w:val="2"/>
            <w:tcBorders>
              <w:top w:val="single" w:sz="4" w:space="0" w:color="999999"/>
              <w:bottom w:val="single" w:sz="4" w:space="0" w:color="999999"/>
            </w:tcBorders>
          </w:tcPr>
          <w:p>
            <w:pPr>
              <w:pStyle w:val="Normal"/>
              <w:widowControl w:val="false"/>
              <w:spacing w:before="0" w:after="200"/>
              <w:rPr/>
            </w:pPr>
            <w:r>
              <w:rPr/>
            </w:r>
          </w:p>
        </w:tc>
        <w:tc>
          <w:tcPr>
            <w:tcW w:w="9181" w:type="dxa"/>
            <w:gridSpan w:val="3"/>
            <w:tcBorders>
              <w:top w:val="single" w:sz="4" w:space="0" w:color="999999"/>
              <w:bottom w:val="single" w:sz="4" w:space="0" w:color="999999"/>
            </w:tcBorders>
          </w:tcPr>
          <w:p>
            <w:pPr>
              <w:pStyle w:val="bulletedlist"/>
              <w:widowControl w:val="false"/>
              <w:numPr>
                <w:ilvl w:val="0"/>
                <w:numId w:val="2"/>
              </w:numPr>
              <w:tabs>
                <w:tab w:val="clear" w:pos="720"/>
                <w:tab w:val="left" w:pos="1242" w:leader="none"/>
                <w:tab w:val="left" w:pos="1602" w:leader="none"/>
              </w:tabs>
              <w:spacing w:before="60" w:after="200"/>
              <w:rPr/>
            </w:pPr>
            <w:r>
              <w:rPr/>
              <w:t>English</w:t>
              <w:tab/>
              <w:t xml:space="preserve">– </w:t>
              <w:tab/>
              <w:t>Fluent</w:t>
            </w:r>
          </w:p>
          <w:p>
            <w:pPr>
              <w:pStyle w:val="bulletedlist"/>
              <w:widowControl w:val="false"/>
              <w:numPr>
                <w:ilvl w:val="0"/>
                <w:numId w:val="2"/>
              </w:numPr>
              <w:tabs>
                <w:tab w:val="clear" w:pos="720"/>
                <w:tab w:val="left" w:pos="1167" w:leader="none"/>
                <w:tab w:val="left" w:pos="1242" w:leader="none"/>
                <w:tab w:val="left" w:pos="1557" w:leader="none"/>
                <w:tab w:val="left" w:pos="1602" w:leader="none"/>
              </w:tabs>
              <w:rPr/>
            </w:pPr>
            <w:r>
              <w:rPr/>
              <w:t xml:space="preserve">French </w:t>
              <w:tab/>
              <w:tab/>
              <w:t xml:space="preserve">– </w:t>
              <w:tab/>
              <w:tab/>
              <w:t>Speak fluently and read/write with high proficiency</w:t>
            </w:r>
          </w:p>
          <w:p>
            <w:pPr>
              <w:pStyle w:val="bulletedlist"/>
              <w:widowControl w:val="false"/>
              <w:numPr>
                <w:ilvl w:val="0"/>
                <w:numId w:val="2"/>
              </w:numPr>
              <w:tabs>
                <w:tab w:val="clear" w:pos="720"/>
                <w:tab w:val="left" w:pos="1242" w:leader="none"/>
                <w:tab w:val="left" w:pos="1557" w:leader="none"/>
                <w:tab w:val="left" w:pos="1602" w:leader="none"/>
              </w:tabs>
              <w:spacing w:before="60" w:after="200"/>
              <w:rPr/>
            </w:pPr>
            <w:r>
              <w:rPr/>
              <w:t xml:space="preserve">German </w:t>
              <w:tab/>
              <w:t xml:space="preserve">– </w:t>
              <w:tab/>
              <w:tab/>
              <w:t>Speak, read, and write with basic competence.</w:t>
            </w:r>
          </w:p>
        </w:tc>
        <w:tc>
          <w:tcPr>
            <w:tcW w:w="1884" w:type="dxa"/>
            <w:tcBorders/>
          </w:tcPr>
          <w:p>
            <w:pPr>
              <w:pStyle w:val="Normal"/>
              <w:widowControl w:val="false"/>
              <w:spacing w:before="0" w:after="200"/>
              <w:rPr/>
            </w:pPr>
            <w:r>
              <w:rPr/>
            </w:r>
          </w:p>
        </w:tc>
      </w:tr>
      <w:tr>
        <w:trPr>
          <w:trHeight w:val="255" w:hRule="atLeast"/>
        </w:trPr>
        <w:tc>
          <w:tcPr>
            <w:tcW w:w="9649" w:type="dxa"/>
            <w:gridSpan w:val="5"/>
            <w:tcBorders>
              <w:top w:val="single" w:sz="4" w:space="0" w:color="999999"/>
            </w:tcBorders>
          </w:tcPr>
          <w:p>
            <w:pPr>
              <w:pStyle w:val="Heading1"/>
              <w:widowControl w:val="false"/>
              <w:spacing w:before="80" w:after="60"/>
              <w:jc w:val="center"/>
              <w:rPr>
                <w:color w:val="000080"/>
              </w:rPr>
            </w:pPr>
            <w:r>
              <w:rPr>
                <w:color w:val="000080"/>
              </w:rPr>
              <w:t>References – Available Upon Request</w:t>
            </w:r>
          </w:p>
        </w:tc>
        <w:tc>
          <w:tcPr>
            <w:tcW w:w="1884" w:type="dxa"/>
            <w:tcBorders/>
          </w:tcPr>
          <w:p>
            <w:pPr>
              <w:pStyle w:val="Normal"/>
              <w:widowControl w:val="false"/>
              <w:spacing w:before="0" w:after="200"/>
              <w:rPr/>
            </w:pPr>
            <w:r>
              <w:rPr/>
            </w:r>
          </w:p>
        </w:tc>
      </w:tr>
    </w:tbl>
    <w:p>
      <w:pPr>
        <w:pStyle w:val="Normal"/>
        <w:widowControl/>
        <w:bidi w:val="0"/>
        <w:spacing w:before="0" w:after="200"/>
        <w:jc w:val="start"/>
        <w:rPr/>
      </w:pPr>
      <w:r>
        <w:rPr/>
      </w:r>
    </w:p>
    <w:sectPr>
      <w:type w:val="nextPage"/>
      <w:pgSz w:w="12240" w:h="15840"/>
      <w:pgMar w:left="1800" w:right="1800" w:gutter="0" w:header="0" w:top="1382" w:footer="0"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OpenSymbol">
    <w:altName w:val="Arial Unicode MS"/>
    <w:charset w:val="01" w:characterSet="utf-8"/>
    <w:family w:val="roman"/>
    <w:pitch w:val="variable"/>
  </w:font>
  <w:font w:name="Carlito">
    <w:altName w:val="Calibri"/>
    <w:charset w:val="01" w:characterSet="utf-8"/>
    <w:family w:val="roman"/>
    <w:pitch w:val="variable"/>
  </w:font>
  <w:font w:name="Calibri">
    <w:charset w:val="01" w:characterSet="utf-8"/>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
        </w:tabs>
        <w:ind w:start="288" w:hanging="288"/>
      </w:pPr>
      <w:rPr>
        <w:rFonts w:ascii="Symbol" w:hAnsi="Symbol" w:cs="Symbol" w:hint="default"/>
        <w:sz w:val="12"/>
        <w:i w:val="false"/>
        <w:b w:val="false"/>
        <w:szCs w:val="12"/>
        <w:color w:val="80808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te Level 1" w:uiPriority="99" w:semiHidden="1" w:unhideWhenUsed="1"/>
    <w:lsdException w:name="Note Level 2" w:uiPriority="99" w:semiHidden="1" w:unhideWhenUsed="1"/>
    <w:lsdException w:name="Note Level 3" w:uiPriority="99" w:semiHidden="1" w:unhideWhenUsed="1"/>
    <w:lsdException w:name="Note Level 4" w:uiPriority="99" w:semiHidden="1" w:unhideWhenUsed="1"/>
    <w:lsdException w:name="Note Level 5" w:uiPriority="99" w:semiHidden="1" w:unhideWhenUsed="1"/>
    <w:lsdException w:name="Note Level 6" w:uiPriority="99" w:semiHidden="1" w:unhideWhenUsed="1"/>
    <w:lsdException w:name="Note Level 7" w:uiPriority="99" w:semiHidden="1" w:unhideWhenUsed="1"/>
    <w:lsdException w:name="Note Level 8" w:uiPriority="99" w:semiHidden="1" w:unhideWhenUsed="1"/>
    <w:lsdException w:name="Note Level 9"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6c7041"/>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4"/>
      <w:szCs w:val="24"/>
      <w:lang w:val="en-US" w:eastAsia="en-US" w:bidi="ar-SA"/>
    </w:rPr>
  </w:style>
  <w:style w:type="paragraph" w:styleId="Heading1">
    <w:name w:val="Heading 1"/>
    <w:basedOn w:val="Normal"/>
    <w:next w:val="Normal"/>
    <w:qFormat/>
    <w:rsid w:val="00a409b5"/>
    <w:pPr>
      <w:spacing w:before="80" w:after="60"/>
      <w:outlineLvl w:val="0"/>
    </w:pPr>
    <w:rPr>
      <w:caps/>
    </w:rPr>
  </w:style>
  <w:style w:type="paragraph" w:styleId="Heading2">
    <w:name w:val="Heading 2"/>
    <w:basedOn w:val="Normal"/>
    <w:next w:val="Normal"/>
    <w:qFormat/>
    <w:rsid w:val="00a409b5"/>
    <w:pPr>
      <w:spacing w:before="60" w:after="200"/>
      <w:outlineLvl w:val="1"/>
    </w:pPr>
    <w:rPr>
      <w:i/>
    </w:rPr>
  </w:style>
  <w:style w:type="paragraph" w:styleId="Heading3">
    <w:name w:val="Heading 3"/>
    <w:basedOn w:val="Normal"/>
    <w:next w:val="Normal"/>
    <w:qFormat/>
    <w:rsid w:val="00a409b5"/>
    <w:pPr>
      <w:outlineLvl w:val="2"/>
    </w:pPr>
    <w:rPr>
      <w:i/>
    </w:rPr>
  </w:style>
  <w:style w:type="character" w:styleId="DefaultParagraphFont" w:default="1">
    <w:name w:val="Default Paragraph Font"/>
    <w:uiPriority w:val="1"/>
    <w:unhideWhenUsed/>
    <w:qFormat/>
    <w:rsid w:val="006c7041"/>
    <w:rPr/>
  </w:style>
  <w:style w:type="character" w:styleId="Hyperlink">
    <w:name w:val="Hyperlink"/>
    <w:rsid w:val="00a409b5"/>
    <w:rPr>
      <w:color w:val="0000FF"/>
      <w:u w:val="single"/>
    </w:rPr>
  </w:style>
  <w:style w:type="character" w:styleId="Heading3Char" w:customStyle="1">
    <w:name w:val="Heading 3 Char"/>
    <w:qFormat/>
    <w:rsid w:val="00a409b5"/>
    <w:rPr>
      <w:rFonts w:ascii="Tahoma" w:hAnsi="Tahoma"/>
      <w:i/>
      <w:spacing w:val="10"/>
      <w:sz w:val="16"/>
      <w:szCs w:val="16"/>
      <w:lang w:val="en-US" w:eastAsia="en-US" w:bidi="ar-SA"/>
    </w:rPr>
  </w:style>
  <w:style w:type="character" w:styleId="TitleChar" w:customStyle="1">
    <w:name w:val="Title Char"/>
    <w:qFormat/>
    <w:rsid w:val="00a409b5"/>
    <w:rPr>
      <w:rFonts w:ascii="Tahoma" w:hAnsi="Tahoma"/>
      <w:b/>
      <w:spacing w:val="10"/>
      <w:sz w:val="16"/>
      <w:szCs w:val="16"/>
      <w:lang w:val="en-US" w:eastAsia="en-US" w:bidi="ar-SA"/>
    </w:rPr>
  </w:style>
  <w:style w:type="character" w:styleId="Heading2Char" w:customStyle="1">
    <w:name w:val="Heading 2 Char"/>
    <w:qFormat/>
    <w:rsid w:val="00a409b5"/>
    <w:rPr>
      <w:rFonts w:ascii="Tahoma" w:hAnsi="Tahoma"/>
      <w:i/>
      <w:spacing w:val="10"/>
      <w:sz w:val="16"/>
      <w:szCs w:val="16"/>
      <w:lang w:val="en-US" w:eastAsia="en-US" w:bidi="ar-SA"/>
    </w:rPr>
  </w:style>
  <w:style w:type="character" w:styleId="FollowedHyperlink">
    <w:name w:val="FollowedHyperlink"/>
    <w:basedOn w:val="DefaultParagraphFont"/>
    <w:rsid w:val="0082408d"/>
    <w:rPr>
      <w:color w:themeColor="followedHyperlink" w:val="8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Carlito" w:hAnsi="Carlito" w:eastAsia="DejaVu Sans" w:cs="DejaVu Sans"/>
      <w:sz w:val="28"/>
      <w:szCs w:val="28"/>
    </w:rPr>
  </w:style>
  <w:style w:type="paragraph" w:styleId="BodyText">
    <w:name w:val="Body Text"/>
    <w:basedOn w:val="Normal"/>
    <w:rsid w:val="00a409b5"/>
    <w:pPr>
      <w:spacing w:before="0" w:after="16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lang w:val="zxx" w:eastAsia="zxx" w:bidi="zxx"/>
    </w:rPr>
  </w:style>
  <w:style w:type="paragraph" w:styleId="Date">
    <w:name w:val="Date"/>
    <w:basedOn w:val="Normal"/>
    <w:next w:val="Normal"/>
    <w:qFormat/>
    <w:rsid w:val="00a409b5"/>
    <w:pPr>
      <w:spacing w:before="60" w:after="200"/>
      <w:jc w:val="end"/>
    </w:pPr>
    <w:rPr>
      <w:b/>
    </w:rPr>
  </w:style>
  <w:style w:type="paragraph" w:styleId="e-mailaddress" w:customStyle="1">
    <w:name w:val="e-mail address"/>
    <w:basedOn w:val="Normal"/>
    <w:qFormat/>
    <w:rsid w:val="00a409b5"/>
    <w:pPr>
      <w:spacing w:before="0" w:after="160"/>
    </w:pPr>
    <w:rPr>
      <w:szCs w:val="20"/>
    </w:rPr>
  </w:style>
  <w:style w:type="paragraph" w:styleId="DatewnoSpaceBefore" w:customStyle="1">
    <w:name w:val="Date w/no Space Before"/>
    <w:basedOn w:val="Date"/>
    <w:qFormat/>
    <w:rsid w:val="00a409b5"/>
    <w:pPr>
      <w:spacing w:before="0" w:after="200"/>
    </w:pPr>
    <w:rPr/>
  </w:style>
  <w:style w:type="paragraph" w:styleId="bulletedlist" w:customStyle="1">
    <w:name w:val="bulleted list"/>
    <w:basedOn w:val="Normal"/>
    <w:qFormat/>
    <w:rsid w:val="00a409b5"/>
    <w:pPr>
      <w:numPr>
        <w:ilvl w:val="0"/>
        <w:numId w:val="2"/>
      </w:numPr>
      <w:spacing w:before="60" w:after="200"/>
    </w:pPr>
    <w:rPr/>
  </w:style>
  <w:style w:type="paragraph" w:styleId="Title">
    <w:name w:val="Title"/>
    <w:basedOn w:val="Normal"/>
    <w:qFormat/>
    <w:rsid w:val="00a409b5"/>
    <w:pPr>
      <w:numPr>
        <w:ilvl w:val="0"/>
        <w:numId w:val="2"/>
      </w:numPr>
    </w:pPr>
    <w:rPr>
      <w:b/>
    </w:rPr>
  </w:style>
  <w:style w:type="paragraph" w:styleId="BalloonText">
    <w:name w:val="Balloon Text"/>
    <w:basedOn w:val="Normal"/>
    <w:semiHidden/>
    <w:qFormat/>
    <w:rsid w:val="00a409b5"/>
    <w:pPr/>
    <w:rPr>
      <w:rFonts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rsid w:val="006c7041"/>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002/9781119600800.ch64" TargetMode="External"/><Relationship Id="rId3" Type="http://schemas.openxmlformats.org/officeDocument/2006/relationships/hyperlink" Target="http://www.wiley.com/WileyCDA/WileyTitle/productCd-0470523824,subjectCd-CH30.html" TargetMode="External"/><Relationship Id="rId4" Type="http://schemas.openxmlformats.org/officeDocument/2006/relationships/hyperlink" Target="http://www.google.com/url?q=http%3A%2F%2Fpubs.acs.org%2Fdoi%2Fabs%2F10.1021%2Fop100010n&amp;sa=D&amp;sntz=1&amp;usg=AFQjCNHR5G8rSE-dmGGT7bIH5mkTTNyA5g" TargetMode="External"/><Relationship Id="rId5" Type="http://schemas.openxmlformats.org/officeDocument/2006/relationships/hyperlink" Target="http://www.google.com/url?q=http%3A%2F%2Fpubs.acs.org%2Fdoi%2Fabs%2F10.1021%2Fop100010n&amp;sa=D&amp;sntz=1&amp;usg=AFQjCNHR5G8rSE-dmGGT7bIH5mkTTNyA5g" TargetMode="External"/><Relationship Id="rId6" Type="http://schemas.openxmlformats.org/officeDocument/2006/relationships/hyperlink" Target="http://www.google.com/url?q=http%3A%2F%2Fpubs.acs.org%2Fdoi%2Fabs%2F10.1021%2Fop100010n&amp;sa=D&amp;sntz=1&amp;usg=AFQjCNHR5G8rSE-dmGGT7bIH5mkTTNyA5g" TargetMode="External"/><Relationship Id="rId7" Type="http://schemas.openxmlformats.org/officeDocument/2006/relationships/hyperlink" Target="http://www.google.com/url?q=http%3A%2F%2Fpubs.acs.org%2Fdoi%2Fabs%2F10.1021%2Fop100010n&amp;sa=D&amp;sntz=1&amp;usg=AFQjCNHR5G8rSE-dmGGT7bIH5mkTTNyA5g" TargetMode="External"/><Relationship Id="rId8" Type="http://schemas.openxmlformats.org/officeDocument/2006/relationships/hyperlink" Target="http://www.google.com/url?q=http%3A%2F%2Fpubs.acs.org%2Fdoi%2Fabs%2F10.1021%2Fop100010n&amp;sa=D&amp;sntz=1&amp;usg=AFQjCNHR5G8rSE-dmGGT7bIH5mkTTNyA5g" TargetMode="External"/><Relationship Id="rId9" Type="http://schemas.openxmlformats.org/officeDocument/2006/relationships/hyperlink" Target="http://www.google.com/url?q=http%3A%2F%2Fpubs.acs.org%2Fdoi%2Fabs%2F10.1021%2Fop100010n&amp;sa=D&amp;sntz=1&amp;usg=AFQjCNHR5G8rSE-dmGGT7bIH5mkTTNyA5g" TargetMode="External"/><Relationship Id="rId10" Type="http://schemas.openxmlformats.org/officeDocument/2006/relationships/hyperlink" Target="http://www.google.com/url?q=http%3A%2F%2Fpubs.acs.org%2Fdoi%2Fabs%2F10.1021%2Fop100010n&amp;sa=D&amp;sntz=1&amp;usg=AFQjCNHR5G8rSE-dmGGT7bIH5mkTTNyA5g" TargetMode="External"/><Relationship Id="rId11" Type="http://schemas.openxmlformats.org/officeDocument/2006/relationships/hyperlink" Target="http://www.google.com/url?q=http%3A%2F%2Fpubs.acs.org%2Fdoi%2Fabs%2F10.1021%2Fop100010n&amp;sa=D&amp;sntz=1&amp;usg=AFQjCNHR5G8rSE-dmGGT7bIH5mkTTNyA5g" TargetMode="External"/><Relationship Id="rId12" Type="http://schemas.openxmlformats.org/officeDocument/2006/relationships/hyperlink" Target="http://www.google.com/url?q=http%3A%2F%2Fpubs.acs.org%2Fdoi%2Fabs%2F10.1021%2Fop100010n&amp;sa=D&amp;sntz=1&amp;usg=AFQjCNHR5G8rSE-dmGGT7bIH5mkTTNyA5g" TargetMode="External"/><Relationship Id="rId13" Type="http://schemas.openxmlformats.org/officeDocument/2006/relationships/hyperlink" Target="http://www.google.com/url?q=http%3A%2F%2Fpubs.acs.org%2Fdoi%2Fabs%2F10.1021%2Fop100010n&amp;sa=D&amp;sntz=1&amp;usg=AFQjCNHR5G8rSE-dmGGT7bIH5mkTTNyA5g" TargetMode="External"/><Relationship Id="rId14" Type="http://schemas.openxmlformats.org/officeDocument/2006/relationships/hyperlink" Target="http://www.google.com/url?q=http%3A%2F%2Fpubs.acs.org%2Fdoi%2Fabs%2F10.1021%2Fop100010n&amp;sa=D&amp;sntz=1&amp;usg=AFQjCNHR5G8rSE-dmGGT7bIH5mkTTNyA5g" TargetMode="External"/><Relationship Id="rId15" Type="http://schemas.openxmlformats.org/officeDocument/2006/relationships/hyperlink" Target="http://www.google.com/url?q=http%3A%2F%2Fpubs.acs.org%2Fdoi%2Fabs%2F10.1021%2Fop100010n&amp;sa=D&amp;sntz=1&amp;usg=AFQjCNHR5G8rSE-dmGGT7bIH5mkTTNyA5g" TargetMode="External"/><Relationship Id="rId16" Type="http://schemas.openxmlformats.org/officeDocument/2006/relationships/hyperlink" Target="http://www.google.com/url?q=http%3A%2F%2Fpubs.acs.org%2Fdoi%2Fabs%2F10.1021%2Fop100010n&amp;sa=D&amp;sntz=1&amp;usg=AFQjCNHR5G8rSE-dmGGT7bIH5mkTTNyA5g" TargetMode="External"/><Relationship Id="rId17" Type="http://schemas.openxmlformats.org/officeDocument/2006/relationships/hyperlink" Target="http://www.google.com/url?q=http%3A%2F%2Fpubs.acs.org%2Fdoi%2Fabs%2F10.1021%2Fop100010n&amp;sa=D&amp;sntz=1&amp;usg=AFQjCNHR5G8rSE-dmGGT7bIH5mkTTNyA5g" TargetMode="External"/><Relationship Id="rId18" Type="http://schemas.openxmlformats.org/officeDocument/2006/relationships/hyperlink" Target="http://www.google.com/url?q=http%3A%2F%2Fpubs.acs.org%2Fdoi%2Fabs%2F10.1021%2Fop100010n&amp;sa=D&amp;sntz=1&amp;usg=AFQjCNHR5G8rSE-dmGGT7bIH5mkTTNyA5g" TargetMode="External"/><Relationship Id="rId19" Type="http://schemas.openxmlformats.org/officeDocument/2006/relationships/hyperlink" Target="http://www.google.com/url?q=http%3A%2F%2Fpubs.acs.org%2Fdoi%2Fabs%2F10.1021%2Fop100010n&amp;sa=D&amp;sntz=1&amp;usg=AFQjCNHR5G8rSE-dmGGT7bIH5mkTTNyA5g" TargetMode="External"/><Relationship Id="rId20" Type="http://schemas.openxmlformats.org/officeDocument/2006/relationships/hyperlink" Target="http://www.google.com/url?q=http%3A%2F%2Fpubs.acs.org%2Fdoi%2Fabs%2F10.1021%2Fop100010n&amp;sa=D&amp;sntz=1&amp;usg=AFQjCNHR5G8rSE-dmGGT7bIH5mkTTNyA5g" TargetMode="External"/><Relationship Id="rId21" Type="http://schemas.openxmlformats.org/officeDocument/2006/relationships/hyperlink" Target="http://www.google.com/url?q=http%3A%2F%2Fpubs.acs.org%2Fdoi%2Fabs%2F10.1021%2Fop100010n&amp;sa=D&amp;sntz=1&amp;usg=AFQjCNHR5G8rSE-dmGGT7bIH5mkTTNyA5g" TargetMode="External"/><Relationship Id="rId22" Type="http://schemas.openxmlformats.org/officeDocument/2006/relationships/hyperlink" Target="http://www.google.com/url?q=http%3A%2F%2Fpubs.acs.org%2Fdoi%2Fabs%2F10.1021%2Fop100010n&amp;sa=D&amp;sntz=1&amp;usg=AFQjCNHR5G8rSE-dmGGT7bIH5mkTTNyA5g" TargetMode="External"/><Relationship Id="rId23" Type="http://schemas.openxmlformats.org/officeDocument/2006/relationships/hyperlink" Target="http://www.google.com/url?q=http%3A%2F%2Fpubs.acs.org%2Fdoi%2Fabs%2F10.1021%2Fop100010n&amp;sa=D&amp;sntz=1&amp;usg=AFQjCNHR5G8rSE-dmGGT7bIH5mkTTNyA5g" TargetMode="External"/><Relationship Id="rId24" Type="http://schemas.openxmlformats.org/officeDocument/2006/relationships/hyperlink" Target="http://www.google.com/url?q=http%3A%2F%2Fpubs.acs.org%2Fdoi%2Fabs%2F10.1021%2Fop100010n&amp;sa=D&amp;sntz=1&amp;usg=AFQjCNHR5G8rSE-dmGGT7bIH5mkTTNyA5g" TargetMode="External"/><Relationship Id="rId25" Type="http://schemas.openxmlformats.org/officeDocument/2006/relationships/hyperlink" Target="http://www.google.com/url?q=http%3A%2F%2Fpubs.acs.org%2Fdoi%2Fabs%2F10.1021%2Fop100010n&amp;sa=D&amp;sntz=1&amp;usg=AFQjCNHR5G8rSE-dmGGT7bIH5mkTTNyA5g" TargetMode="External"/><Relationship Id="rId26" Type="http://schemas.openxmlformats.org/officeDocument/2006/relationships/hyperlink" Target="http://www.google.com/url?q=http%3A%2F%2Fpubs.acs.org%2Fdoi%2Fabs%2F10.1021%2Fop100010n&amp;sa=D&amp;sntz=1&amp;usg=AFQjCNHR5G8rSE-dmGGT7bIH5mkTTNyA5g" TargetMode="External"/><Relationship Id="rId27" Type="http://schemas.openxmlformats.org/officeDocument/2006/relationships/hyperlink" Target="http://www.google.com/url?q=http%3A%2F%2Fpubs.acs.org%2Fdoi%2Fabs%2F10.1021%2Fop100010n&amp;sa=D&amp;sntz=1&amp;usg=AFQjCNHR5G8rSE-dmGGT7bIH5mkTTNyA5g" TargetMode="External"/><Relationship Id="rId28" Type="http://schemas.openxmlformats.org/officeDocument/2006/relationships/hyperlink" Target="http://www.google.com/url?q=http%3A%2F%2Fpubs.acs.org%2Fdoi%2Fabs%2F10.1021%2Fop100010n&amp;sa=D&amp;sntz=1&amp;usg=AFQjCNHR5G8rSE-dmGGT7bIH5mkTTNyA5g"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AFB3F-0F3D-6A43-BDB4-65CAC4F0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Application>LibreOffice/24.2.4.2$MacOSX_AARCH64 LibreOffice_project/51a6219feb6075d9a4c46691dcfe0cd9c4fff3c2</Application>
  <AppVersion>15.0000</AppVersion>
  <Pages>6</Pages>
  <Words>1053</Words>
  <Characters>6609</Characters>
  <CharactersWithSpaces>7664</CharactersWithSpaces>
  <Paragraphs>85</Paragraphs>
  <Company>Exelixis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2019-01-28T00:11:00Z</dcterms:created>
  <dc:creator>O. Akiti</dc:creator>
  <dc:description/>
  <dc:language>en-US</dc:language>
  <cp:lastModifiedBy/>
  <cp:lastPrinted>2024-06-27T13:32:45Z</cp:lastPrinted>
  <dcterms:modified xsi:type="dcterms:W3CDTF">2024-06-27T13:35:36Z</dcterms:modified>
  <cp:revision>28</cp:revision>
  <dc:subject/>
  <dc:title>CURRICULUM VITAE</dc:title>
</cp:coreProperties>
</file>

<file path=docProps/custom.xml><?xml version="1.0" encoding="utf-8"?>
<Properties xmlns="http://schemas.openxmlformats.org/officeDocument/2006/custom-properties" xmlns:vt="http://schemas.openxmlformats.org/officeDocument/2006/docPropsVTypes"/>
</file>